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4505EE" w:rsidRPr="00877AE6">
        <w:rPr>
          <w:rFonts w:ascii="Palatino Linotype" w:eastAsia="Calibri" w:hAnsi="Palatino Linotype" w:cs="Arial"/>
          <w:b/>
          <w:sz w:val="24"/>
          <w:szCs w:val="24"/>
        </w:rPr>
        <w:t>03201/INFOEM/IP/RR/2018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FE083B" w:rsidRDefault="00FE083B" w:rsidP="00FE083B">
      <w:pPr>
        <w:spacing w:line="360" w:lineRule="auto"/>
        <w:jc w:val="both"/>
        <w:rPr>
          <w:rFonts w:ascii="Palatino Linotype" w:hAnsi="Palatino Linotype" w:cs="Arial"/>
        </w:rPr>
      </w:pPr>
    </w:p>
    <w:p w:rsidR="00FE083B" w:rsidRDefault="00FE083B" w:rsidP="00FE083B">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FE083B" w:rsidRDefault="00FE083B" w:rsidP="00FE083B">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FE083B" w:rsidRDefault="00FE083B" w:rsidP="00FE083B">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FE083B" w:rsidRPr="00CC0EC5" w:rsidRDefault="00FE083B" w:rsidP="00FE083B">
      <w:pPr>
        <w:spacing w:line="360" w:lineRule="auto"/>
        <w:jc w:val="both"/>
        <w:rPr>
          <w:rFonts w:ascii="Palatino Linotype" w:hAnsi="Palatino Linotype" w:cs="Arial"/>
        </w:rPr>
      </w:pPr>
    </w:p>
    <w:p w:rsidR="00FE083B" w:rsidRPr="00877AE6" w:rsidRDefault="00FE083B" w:rsidP="00FE083B">
      <w:pPr>
        <w:pStyle w:val="Sinespaciado"/>
        <w:spacing w:line="360" w:lineRule="auto"/>
        <w:jc w:val="both"/>
        <w:rPr>
          <w:rFonts w:ascii="Palatino Linotype" w:hAnsi="Palatino Linotype"/>
          <w:color w:val="000000" w:themeColor="text1"/>
          <w:sz w:val="24"/>
          <w:szCs w:val="24"/>
          <w:lang w:eastAsia="es-MX"/>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FE083B" w:rsidRPr="00FE083B" w:rsidRDefault="009C382C" w:rsidP="00FE083B">
          <w:pPr>
            <w:pStyle w:val="TDC1"/>
            <w:spacing w:line="480" w:lineRule="auto"/>
            <w:rPr>
              <w:rFonts w:ascii="Palatino Linotype" w:eastAsiaTheme="minorEastAsia" w:hAnsi="Palatino Linotype"/>
              <w:noProof/>
              <w:sz w:val="24"/>
              <w:szCs w:val="24"/>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527994041" w:history="1">
            <w:r w:rsidR="00FE083B" w:rsidRPr="00FE083B">
              <w:rPr>
                <w:rStyle w:val="Hipervnculo"/>
                <w:rFonts w:ascii="Palatino Linotype" w:eastAsia="Times New Roman" w:hAnsi="Palatino Linotype"/>
                <w:b/>
                <w:noProof/>
                <w:sz w:val="24"/>
                <w:szCs w:val="24"/>
              </w:rPr>
              <w:t>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Times New Roman" w:hAnsi="Palatino Linotype"/>
                <w:b/>
                <w:noProof/>
                <w:sz w:val="24"/>
                <w:szCs w:val="24"/>
              </w:rPr>
              <w:t>Consideraciones Generales</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_Toc527994041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1F534C">
              <w:rPr>
                <w:rFonts w:ascii="Palatino Linotype" w:hAnsi="Palatino Linotype"/>
                <w:noProof/>
                <w:webHidden/>
                <w:sz w:val="24"/>
                <w:szCs w:val="24"/>
              </w:rPr>
              <w:t>3</w:t>
            </w:r>
            <w:r w:rsidR="00FE083B" w:rsidRPr="00FE083B">
              <w:rPr>
                <w:rFonts w:ascii="Palatino Linotype" w:hAnsi="Palatino Linotype"/>
                <w:noProof/>
                <w:webHidden/>
                <w:sz w:val="24"/>
                <w:szCs w:val="24"/>
              </w:rPr>
              <w:fldChar w:fldCharType="end"/>
            </w:r>
          </w:hyperlink>
        </w:p>
        <w:p w:rsidR="00FE083B" w:rsidRPr="00FE083B" w:rsidRDefault="00254ED9" w:rsidP="00FE083B">
          <w:pPr>
            <w:pStyle w:val="TDC1"/>
            <w:spacing w:line="480" w:lineRule="auto"/>
            <w:rPr>
              <w:rFonts w:ascii="Palatino Linotype" w:eastAsiaTheme="minorEastAsia" w:hAnsi="Palatino Linotype"/>
              <w:noProof/>
              <w:sz w:val="24"/>
              <w:szCs w:val="24"/>
              <w:lang w:eastAsia="es-MX"/>
            </w:rPr>
          </w:pPr>
          <w:hyperlink w:anchor="_Toc527994042" w:history="1">
            <w:r w:rsidR="00FE083B" w:rsidRPr="00FE083B">
              <w:rPr>
                <w:rStyle w:val="Hipervnculo"/>
                <w:rFonts w:ascii="Palatino Linotype" w:eastAsia="Calibri" w:hAnsi="Palatino Linotype"/>
                <w:b/>
                <w:noProof/>
                <w:sz w:val="24"/>
                <w:szCs w:val="24"/>
                <w:lang w:val="es-ES"/>
              </w:rPr>
              <w:t>II.</w:t>
            </w:r>
            <w:r w:rsidR="00FE083B" w:rsidRPr="00FE083B">
              <w:rPr>
                <w:rFonts w:ascii="Palatino Linotype" w:eastAsiaTheme="minorEastAsia" w:hAnsi="Palatino Linotype"/>
                <w:noProof/>
                <w:sz w:val="24"/>
                <w:szCs w:val="24"/>
                <w:lang w:eastAsia="es-MX"/>
              </w:rPr>
              <w:tab/>
            </w:r>
            <w:r w:rsidR="00FE083B" w:rsidRPr="00FE083B">
              <w:rPr>
                <w:rStyle w:val="Hipervnculo"/>
                <w:rFonts w:ascii="Palatino Linotype" w:eastAsia="Calibri" w:hAnsi="Palatino Linotype"/>
                <w:b/>
                <w:noProof/>
                <w:sz w:val="24"/>
                <w:szCs w:val="24"/>
                <w:lang w:val="es-ES"/>
              </w:rPr>
              <w:t>De los requerimientos planteados en el recurso de revisión.</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_Toc527994042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1F534C">
              <w:rPr>
                <w:rFonts w:ascii="Palatino Linotype" w:hAnsi="Palatino Linotype"/>
                <w:noProof/>
                <w:webHidden/>
                <w:sz w:val="24"/>
                <w:szCs w:val="24"/>
              </w:rPr>
              <w:t>4</w:t>
            </w:r>
            <w:r w:rsidR="00FE083B" w:rsidRPr="00FE083B">
              <w:rPr>
                <w:rFonts w:ascii="Palatino Linotype" w:hAnsi="Palatino Linotype"/>
                <w:noProof/>
                <w:webHidden/>
                <w:sz w:val="24"/>
                <w:szCs w:val="24"/>
              </w:rPr>
              <w:fldChar w:fldCharType="end"/>
            </w:r>
          </w:hyperlink>
        </w:p>
        <w:p w:rsidR="00FE083B" w:rsidRPr="00FE083B" w:rsidRDefault="00254ED9" w:rsidP="00FE083B">
          <w:pPr>
            <w:pStyle w:val="TDC1"/>
            <w:spacing w:line="480" w:lineRule="auto"/>
            <w:rPr>
              <w:rFonts w:ascii="Palatino Linotype" w:eastAsiaTheme="minorEastAsia" w:hAnsi="Palatino Linotype"/>
              <w:noProof/>
              <w:sz w:val="24"/>
              <w:szCs w:val="24"/>
              <w:lang w:eastAsia="es-MX"/>
            </w:rPr>
          </w:pPr>
          <w:hyperlink w:anchor="_Toc527994043" w:history="1">
            <w:r w:rsidR="00FE083B" w:rsidRPr="00FE083B">
              <w:rPr>
                <w:rStyle w:val="Hipervnculo"/>
                <w:rFonts w:ascii="Palatino Linotype" w:hAnsi="Palatino Linotype"/>
                <w:b/>
                <w:noProof/>
                <w:sz w:val="24"/>
                <w:szCs w:val="24"/>
              </w:rPr>
              <w:t>De la respuesta del Sujeto Obligado.</w:t>
            </w:r>
            <w:r w:rsidR="00FE083B" w:rsidRPr="00FE083B">
              <w:rPr>
                <w:rFonts w:ascii="Palatino Linotype" w:hAnsi="Palatino Linotype"/>
                <w:noProof/>
                <w:webHidden/>
                <w:sz w:val="24"/>
                <w:szCs w:val="24"/>
              </w:rPr>
              <w:tab/>
            </w:r>
            <w:r w:rsidR="00FE083B" w:rsidRPr="00FE083B">
              <w:rPr>
                <w:rFonts w:ascii="Palatino Linotype" w:hAnsi="Palatino Linotype"/>
                <w:noProof/>
                <w:webHidden/>
                <w:sz w:val="24"/>
                <w:szCs w:val="24"/>
              </w:rPr>
              <w:fldChar w:fldCharType="begin"/>
            </w:r>
            <w:r w:rsidR="00FE083B" w:rsidRPr="00FE083B">
              <w:rPr>
                <w:rFonts w:ascii="Palatino Linotype" w:hAnsi="Palatino Linotype"/>
                <w:noProof/>
                <w:webHidden/>
                <w:sz w:val="24"/>
                <w:szCs w:val="24"/>
              </w:rPr>
              <w:instrText xml:space="preserve"> PAGEREF _Toc527994043 \h </w:instrText>
            </w:r>
            <w:r w:rsidR="00FE083B" w:rsidRPr="00FE083B">
              <w:rPr>
                <w:rFonts w:ascii="Palatino Linotype" w:hAnsi="Palatino Linotype"/>
                <w:noProof/>
                <w:webHidden/>
                <w:sz w:val="24"/>
                <w:szCs w:val="24"/>
              </w:rPr>
            </w:r>
            <w:r w:rsidR="00FE083B" w:rsidRPr="00FE083B">
              <w:rPr>
                <w:rFonts w:ascii="Palatino Linotype" w:hAnsi="Palatino Linotype"/>
                <w:noProof/>
                <w:webHidden/>
                <w:sz w:val="24"/>
                <w:szCs w:val="24"/>
              </w:rPr>
              <w:fldChar w:fldCharType="separate"/>
            </w:r>
            <w:r w:rsidR="001F534C">
              <w:rPr>
                <w:rFonts w:ascii="Palatino Linotype" w:hAnsi="Palatino Linotype"/>
                <w:noProof/>
                <w:webHidden/>
                <w:sz w:val="24"/>
                <w:szCs w:val="24"/>
              </w:rPr>
              <w:t>5</w:t>
            </w:r>
            <w:r w:rsidR="00FE083B" w:rsidRPr="00FE083B">
              <w:rPr>
                <w:rFonts w:ascii="Palatino Linotype" w:hAnsi="Palatino Linotype"/>
                <w:noProof/>
                <w:webHidden/>
                <w:sz w:val="24"/>
                <w:szCs w:val="24"/>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p w:rsidR="008F7805" w:rsidRPr="00877AE6" w:rsidRDefault="00C20346" w:rsidP="008F7805">
      <w:pPr>
        <w:rPr>
          <w:rFonts w:ascii="Palatino Linotype" w:hAnsi="Palatino Linotype"/>
          <w:sz w:val="24"/>
          <w:szCs w:val="24"/>
        </w:rPr>
      </w:pPr>
      <w:bookmarkStart w:id="0" w:name="_Toc526786187"/>
      <w:bookmarkStart w:id="1" w:name="_Toc527381339"/>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3B84B"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" strokecolor="black [3200]" strokeweight=".5pt">
                <v:stroke joinstyle="miter"/>
              </v:line>
            </w:pict>
          </mc:Fallback>
        </mc:AlternateContent>
      </w:r>
      <w:bookmarkEnd w:id="0"/>
      <w:bookmarkEnd w:id="1"/>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2" w:name="_Toc527994041"/>
      <w:r w:rsidRPr="00877AE6">
        <w:rPr>
          <w:rFonts w:ascii="Palatino Linotype" w:eastAsia="Times New Roman" w:hAnsi="Palatino Linotype"/>
          <w:b/>
          <w:color w:val="auto"/>
          <w:sz w:val="24"/>
          <w:szCs w:val="24"/>
        </w:rPr>
        <w:lastRenderedPageBreak/>
        <w:t>Consideraciones Generales</w:t>
      </w:r>
      <w:bookmarkEnd w:id="2"/>
    </w:p>
    <w:p w:rsidR="00B418D3" w:rsidRPr="00877AE6" w:rsidRDefault="00B418D3" w:rsidP="00B418D3">
      <w:pPr>
        <w:pStyle w:val="Prrafodelista"/>
        <w:keepNext/>
        <w:keepLines/>
        <w:spacing w:before="240" w:after="0"/>
        <w:ind w:left="1080"/>
        <w:outlineLvl w:val="0"/>
        <w:rPr>
          <w:rFonts w:ascii="Palatino Linotype" w:eastAsia="Times New Roman" w:hAnsi="Palatino Linotype" w:cs="Times New Roman"/>
          <w:color w:val="365F91"/>
          <w:sz w:val="24"/>
          <w:szCs w:val="24"/>
        </w:rPr>
      </w:pPr>
    </w:p>
    <w:p w:rsidR="000D5AEA" w:rsidRPr="00877AE6"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w:t>
      </w:r>
      <w:r w:rsidR="000D5AEA" w:rsidRPr="00254ED9">
        <w:rPr>
          <w:rFonts w:ascii="Palatino Linotype" w:eastAsia="Calibri" w:hAnsi="Palatino Linotype" w:cs="Arial"/>
          <w:sz w:val="24"/>
          <w:szCs w:val="24"/>
        </w:rPr>
        <w:t xml:space="preserve">Datos Personales del Estado de México y Municipios, en su </w:t>
      </w:r>
      <w:r w:rsidR="005E38D6" w:rsidRPr="00254ED9">
        <w:rPr>
          <w:rFonts w:ascii="Palatino Linotype" w:eastAsia="Calibri" w:hAnsi="Palatino Linotype" w:cs="Arial"/>
          <w:sz w:val="24"/>
          <w:szCs w:val="24"/>
        </w:rPr>
        <w:t>Trigésima</w:t>
      </w:r>
      <w:r w:rsidR="004B0239" w:rsidRPr="00254ED9">
        <w:rPr>
          <w:rFonts w:ascii="Palatino Linotype" w:eastAsia="Calibri" w:hAnsi="Palatino Linotype" w:cs="Arial"/>
          <w:sz w:val="24"/>
          <w:szCs w:val="24"/>
        </w:rPr>
        <w:t xml:space="preserve"> </w:t>
      </w:r>
      <w:r w:rsidR="004505EE" w:rsidRPr="00254ED9">
        <w:rPr>
          <w:rFonts w:ascii="Palatino Linotype" w:eastAsia="Calibri" w:hAnsi="Palatino Linotype" w:cs="Arial"/>
          <w:sz w:val="24"/>
          <w:szCs w:val="24"/>
        </w:rPr>
        <w:t>Octava</w:t>
      </w:r>
      <w:r w:rsidR="001759E6" w:rsidRPr="00254ED9">
        <w:rPr>
          <w:rFonts w:ascii="Palatino Linotype" w:eastAsia="Calibri" w:hAnsi="Palatino Linotype" w:cs="Arial"/>
          <w:sz w:val="24"/>
          <w:szCs w:val="24"/>
        </w:rPr>
        <w:t xml:space="preserve"> </w:t>
      </w:r>
      <w:r w:rsidR="004137A7" w:rsidRPr="00254ED9">
        <w:rPr>
          <w:rFonts w:ascii="Palatino Linotype" w:eastAsia="Calibri" w:hAnsi="Palatino Linotype" w:cs="Arial"/>
          <w:sz w:val="24"/>
          <w:szCs w:val="24"/>
        </w:rPr>
        <w:t xml:space="preserve">Sesión </w:t>
      </w:r>
      <w:r w:rsidR="004B0239" w:rsidRPr="00254ED9">
        <w:rPr>
          <w:rFonts w:ascii="Palatino Linotype" w:eastAsia="Calibri" w:hAnsi="Palatino Linotype" w:cs="Arial"/>
          <w:sz w:val="24"/>
          <w:szCs w:val="24"/>
        </w:rPr>
        <w:t xml:space="preserve">Ordinaria </w:t>
      </w:r>
      <w:r w:rsidR="004137A7" w:rsidRPr="00254ED9">
        <w:rPr>
          <w:rFonts w:ascii="Palatino Linotype" w:eastAsia="Calibri" w:hAnsi="Palatino Linotype" w:cs="Arial"/>
          <w:sz w:val="24"/>
          <w:szCs w:val="24"/>
        </w:rPr>
        <w:t xml:space="preserve">celebrada el </w:t>
      </w:r>
      <w:r w:rsidR="004B0239" w:rsidRPr="00254ED9">
        <w:rPr>
          <w:rFonts w:ascii="Palatino Linotype" w:eastAsia="Calibri" w:hAnsi="Palatino Linotype" w:cs="Arial"/>
          <w:sz w:val="24"/>
          <w:szCs w:val="24"/>
        </w:rPr>
        <w:t xml:space="preserve">del día </w:t>
      </w:r>
      <w:r w:rsidR="004505EE" w:rsidRPr="00254ED9">
        <w:rPr>
          <w:rFonts w:ascii="Palatino Linotype" w:eastAsia="Calibri" w:hAnsi="Palatino Linotype" w:cs="Arial"/>
          <w:sz w:val="24"/>
          <w:szCs w:val="24"/>
        </w:rPr>
        <w:t>diecisiete</w:t>
      </w:r>
      <w:r w:rsidR="004B0239" w:rsidRPr="00254ED9">
        <w:rPr>
          <w:rFonts w:ascii="Palatino Linotype" w:eastAsia="Calibri" w:hAnsi="Palatino Linotype" w:cs="Arial"/>
          <w:sz w:val="24"/>
          <w:szCs w:val="24"/>
        </w:rPr>
        <w:t xml:space="preserve"> </w:t>
      </w:r>
      <w:r w:rsidR="005E38D6" w:rsidRPr="00254ED9">
        <w:rPr>
          <w:rFonts w:ascii="Palatino Linotype" w:eastAsia="Calibri" w:hAnsi="Palatino Linotype" w:cs="Arial"/>
          <w:sz w:val="24"/>
          <w:szCs w:val="24"/>
        </w:rPr>
        <w:t>(</w:t>
      </w:r>
      <w:r w:rsidR="00586D5D" w:rsidRPr="00254ED9">
        <w:rPr>
          <w:rFonts w:ascii="Palatino Linotype" w:eastAsia="Calibri" w:hAnsi="Palatino Linotype" w:cs="Arial"/>
          <w:sz w:val="24"/>
          <w:szCs w:val="24"/>
        </w:rPr>
        <w:t>1</w:t>
      </w:r>
      <w:r w:rsidR="004505EE" w:rsidRPr="00254ED9">
        <w:rPr>
          <w:rFonts w:ascii="Palatino Linotype" w:eastAsia="Calibri" w:hAnsi="Palatino Linotype" w:cs="Arial"/>
          <w:sz w:val="24"/>
          <w:szCs w:val="24"/>
        </w:rPr>
        <w:t>7</w:t>
      </w:r>
      <w:r w:rsidR="004137A7" w:rsidRPr="00254ED9">
        <w:rPr>
          <w:rFonts w:ascii="Palatino Linotype" w:eastAsia="Calibri" w:hAnsi="Palatino Linotype" w:cs="Arial"/>
          <w:sz w:val="24"/>
          <w:szCs w:val="24"/>
        </w:rPr>
        <w:t>)</w:t>
      </w:r>
      <w:r w:rsidR="004B0239" w:rsidRPr="00254ED9">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F01325" w:rsidRPr="00877AE6">
        <w:rPr>
          <w:rFonts w:ascii="Palatino Linotype" w:eastAsia="Calibri" w:hAnsi="Palatino Linotype" w:cs="Arial"/>
          <w:sz w:val="24"/>
          <w:szCs w:val="24"/>
        </w:rPr>
        <w:t>octu</w:t>
      </w:r>
      <w:r w:rsidR="001759E6" w:rsidRPr="00877AE6">
        <w:rPr>
          <w:rFonts w:ascii="Palatino Linotype" w:eastAsia="Calibri" w:hAnsi="Palatino Linotype" w:cs="Arial"/>
          <w:sz w:val="24"/>
          <w:szCs w:val="24"/>
        </w:rPr>
        <w:t>bre</w:t>
      </w:r>
      <w:r w:rsidR="004137A7" w:rsidRPr="00877AE6">
        <w:rPr>
          <w:rFonts w:ascii="Palatino Linotype" w:eastAsia="Calibri" w:hAnsi="Palatino Linotype" w:cs="Arial"/>
          <w:sz w:val="24"/>
          <w:szCs w:val="24"/>
        </w:rPr>
        <w:t xml:space="preserve"> de </w:t>
      </w:r>
      <w:r w:rsidR="00032D26" w:rsidRPr="00877AE6">
        <w:rPr>
          <w:rFonts w:ascii="Palatino Linotype" w:eastAsia="Calibri" w:hAnsi="Palatino Linotype" w:cs="Arial"/>
          <w:sz w:val="24"/>
          <w:szCs w:val="24"/>
        </w:rPr>
        <w:t>la presenta anualidad</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por</w:t>
      </w:r>
      <w:r w:rsidR="004B0239" w:rsidRPr="00877AE6">
        <w:rPr>
          <w:rFonts w:ascii="Palatino Linotype" w:hAnsi="Palatino Linotype"/>
          <w:b/>
          <w:sz w:val="24"/>
          <w:szCs w:val="24"/>
        </w:rPr>
        <w:t xml:space="preserve"> </w:t>
      </w:r>
      <w:r w:rsidR="0051709C" w:rsidRPr="0051709C">
        <w:rPr>
          <w:rFonts w:ascii="Palatino Linotype" w:hAnsi="Palatino Linotype" w:cs="Arial"/>
          <w:b/>
          <w:sz w:val="24"/>
          <w:szCs w:val="24"/>
          <w:highlight w:val="black"/>
        </w:rPr>
        <w:t>-----------------</w:t>
      </w:r>
      <w:r w:rsidR="004505EE" w:rsidRPr="00877AE6">
        <w:rPr>
          <w:rFonts w:ascii="Palatino Linotype" w:hAnsi="Palatino Linotype" w:cs="Arial"/>
          <w:b/>
          <w:sz w:val="24"/>
          <w:szCs w:val="24"/>
        </w:rPr>
        <w:t xml:space="preserve"> </w:t>
      </w:r>
      <w:r w:rsidR="0051709C" w:rsidRPr="0051709C">
        <w:rPr>
          <w:rFonts w:ascii="Palatino Linotype" w:hAnsi="Palatino Linotype" w:cs="Arial"/>
          <w:b/>
          <w:sz w:val="24"/>
          <w:szCs w:val="24"/>
          <w:highlight w:val="black"/>
        </w:rPr>
        <w:t>-------------------</w:t>
      </w:r>
      <w:r w:rsidR="004B0239" w:rsidRPr="00877AE6">
        <w:rPr>
          <w:rFonts w:ascii="Palatino Linotype" w:eastAsia="Calibri" w:hAnsi="Palatino Linotype" w:cs="Arial"/>
          <w:sz w:val="24"/>
          <w:szCs w:val="24"/>
        </w:rPr>
        <w:t>, en contra de la respuesta del</w:t>
      </w:r>
      <w:r w:rsidR="00E469EB" w:rsidRPr="00877AE6">
        <w:rPr>
          <w:rFonts w:ascii="Palatino Linotype" w:eastAsia="Times New Roman" w:hAnsi="Palatino Linotype" w:cs="Arial"/>
          <w:b/>
          <w:sz w:val="24"/>
          <w:szCs w:val="24"/>
          <w:lang w:val="es-ES" w:eastAsia="es-ES"/>
        </w:rPr>
        <w:t xml:space="preserve"> </w:t>
      </w:r>
      <w:r w:rsidR="004505EE" w:rsidRPr="00877AE6">
        <w:rPr>
          <w:rFonts w:ascii="Palatino Linotype" w:hAnsi="Palatino Linotype" w:cs="Arial"/>
          <w:b/>
          <w:sz w:val="24"/>
          <w:szCs w:val="24"/>
        </w:rPr>
        <w:t>Poder Judicial</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4505EE" w:rsidRPr="00877AE6">
        <w:rPr>
          <w:rFonts w:ascii="Palatino Linotype" w:hAnsi="Palatino Linotype"/>
          <w:b/>
          <w:sz w:val="24"/>
          <w:szCs w:val="24"/>
        </w:rPr>
        <w:t>03201/INFOEM/IP/RR/2018</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362134" w:rsidRPr="00877AE6" w:rsidRDefault="000D5AEA" w:rsidP="00362134">
      <w:pPr>
        <w:numPr>
          <w:ilvl w:val="0"/>
          <w:numId w:val="2"/>
        </w:numPr>
        <w:spacing w:after="0" w:line="360" w:lineRule="auto"/>
        <w:contextualSpacing/>
        <w:jc w:val="both"/>
        <w:rPr>
          <w:rFonts w:ascii="Palatino Linotype" w:hAnsi="Palatino Linotype"/>
          <w:b/>
          <w:bCs/>
          <w:sz w:val="24"/>
          <w:szCs w:val="24"/>
        </w:rPr>
      </w:pPr>
      <w:r w:rsidRPr="00877AE6">
        <w:rPr>
          <w:rFonts w:ascii="Palatino Linotype" w:eastAsia="Calibri" w:hAnsi="Palatino Linotype" w:cs="Arial"/>
          <w:sz w:val="24"/>
          <w:szCs w:val="24"/>
        </w:rPr>
        <w:t>L</w:t>
      </w:r>
      <w:r w:rsidR="004B0239" w:rsidRPr="00877AE6">
        <w:rPr>
          <w:rFonts w:ascii="Palatino Linotype" w:eastAsia="Calibri" w:hAnsi="Palatino Linotype" w:cs="Arial"/>
          <w:sz w:val="24"/>
          <w:szCs w:val="24"/>
        </w:rPr>
        <w:t xml:space="preserve">a resolución </w:t>
      </w:r>
      <w:r w:rsidR="00362134" w:rsidRPr="00877AE6">
        <w:rPr>
          <w:rFonts w:ascii="Palatino Linotype" w:eastAsia="Calibri" w:hAnsi="Palatino Linotype" w:cs="Arial"/>
          <w:sz w:val="24"/>
          <w:szCs w:val="24"/>
        </w:rPr>
        <w:t>determino</w:t>
      </w:r>
      <w:r w:rsidR="00362134" w:rsidRPr="00877AE6">
        <w:rPr>
          <w:rFonts w:ascii="Palatino Linotype" w:hAnsi="Palatino Linotype" w:cs="Arial"/>
          <w:sz w:val="24"/>
          <w:szCs w:val="24"/>
          <w:lang w:val="es-ES_tradnl"/>
        </w:rPr>
        <w:t xml:space="preserve">, </w:t>
      </w:r>
      <w:r w:rsidR="00FE083B">
        <w:rPr>
          <w:rFonts w:ascii="Palatino Linotype" w:hAnsi="Palatino Linotype" w:cs="Arial"/>
          <w:sz w:val="24"/>
          <w:szCs w:val="24"/>
          <w:lang w:val="es-ES_tradnl"/>
        </w:rPr>
        <w:t xml:space="preserve">que </w:t>
      </w:r>
      <w:r w:rsidR="00FE083B">
        <w:rPr>
          <w:rFonts w:ascii="Palatino Linotype" w:hAnsi="Palatino Linotype"/>
          <w:sz w:val="24"/>
          <w:szCs w:val="24"/>
        </w:rPr>
        <w:t>el S</w:t>
      </w:r>
      <w:r w:rsidR="004505EE" w:rsidRPr="00877AE6">
        <w:rPr>
          <w:rFonts w:ascii="Palatino Linotype" w:hAnsi="Palatino Linotype"/>
          <w:sz w:val="24"/>
          <w:szCs w:val="24"/>
        </w:rPr>
        <w:t xml:space="preserve">ujeto </w:t>
      </w:r>
      <w:r w:rsidR="00FE083B">
        <w:rPr>
          <w:rFonts w:ascii="Palatino Linotype" w:hAnsi="Palatino Linotype"/>
          <w:sz w:val="24"/>
          <w:szCs w:val="24"/>
        </w:rPr>
        <w:t>O</w:t>
      </w:r>
      <w:r w:rsidR="004505EE" w:rsidRPr="00877AE6">
        <w:rPr>
          <w:rFonts w:ascii="Palatino Linotype" w:hAnsi="Palatino Linotype"/>
          <w:sz w:val="24"/>
          <w:szCs w:val="24"/>
        </w:rPr>
        <w:t xml:space="preserve">bligado no se encuentra en posibilidad de hacer entrega de lo solicitado, motivo por el cual la Ponencia Resolutora considera </w:t>
      </w:r>
      <w:r w:rsidR="00FE083B">
        <w:rPr>
          <w:rFonts w:ascii="Palatino Linotype" w:hAnsi="Palatino Linotype"/>
          <w:sz w:val="24"/>
          <w:szCs w:val="24"/>
        </w:rPr>
        <w:t xml:space="preserve">como argumentos </w:t>
      </w:r>
      <w:r w:rsidR="004505EE" w:rsidRPr="00877AE6">
        <w:rPr>
          <w:rFonts w:ascii="Palatino Linotype" w:hAnsi="Palatino Linotype"/>
          <w:sz w:val="24"/>
          <w:szCs w:val="24"/>
        </w:rPr>
        <w:t>suficientes para confirmar la respuesta otorgada por lo que a la reserva de la información se refiere, siendo para tal efecto dable ordenar el acuerdo que clasifica como reservada la información</w:t>
      </w:r>
      <w:r w:rsidR="00362134" w:rsidRPr="00877AE6">
        <w:rPr>
          <w:rFonts w:ascii="Palatino Linotype" w:hAnsi="Palatino Linotype"/>
          <w:bCs/>
          <w:sz w:val="24"/>
          <w:szCs w:val="24"/>
        </w:rPr>
        <w:t>.</w:t>
      </w:r>
    </w:p>
    <w:p w:rsidR="00362134" w:rsidRPr="00877AE6" w:rsidRDefault="00362134" w:rsidP="00362134">
      <w:pPr>
        <w:pStyle w:val="Prrafodelista"/>
        <w:rPr>
          <w:rFonts w:ascii="Palatino Linotype" w:hAnsi="Palatino Linotype"/>
          <w:b/>
          <w:bCs/>
          <w:sz w:val="24"/>
          <w:szCs w:val="24"/>
        </w:rPr>
      </w:pPr>
    </w:p>
    <w:p w:rsidR="00362134" w:rsidRPr="00877AE6" w:rsidRDefault="00362134" w:rsidP="004505EE">
      <w:pPr>
        <w:numPr>
          <w:ilvl w:val="0"/>
          <w:numId w:val="2"/>
        </w:numPr>
        <w:spacing w:after="0" w:line="360" w:lineRule="auto"/>
        <w:contextualSpacing/>
        <w:jc w:val="both"/>
        <w:rPr>
          <w:rFonts w:ascii="Palatino Linotype" w:hAnsi="Palatino Linotype" w:cs="Arial"/>
          <w:bCs/>
          <w:sz w:val="24"/>
          <w:szCs w:val="24"/>
          <w:shd w:val="clear" w:color="auto" w:fill="FFFFFF"/>
        </w:rPr>
      </w:pPr>
      <w:r w:rsidRPr="00877AE6">
        <w:rPr>
          <w:rFonts w:ascii="Palatino Linotype" w:hAnsi="Palatino Linotype"/>
          <w:color w:val="000000"/>
          <w:sz w:val="24"/>
          <w:szCs w:val="24"/>
        </w:rPr>
        <w:t xml:space="preserve">En consecuencia, </w:t>
      </w:r>
      <w:r w:rsidRPr="00877AE6">
        <w:rPr>
          <w:rFonts w:ascii="Palatino Linotype" w:hAnsi="Palatino Linotype"/>
          <w:sz w:val="24"/>
          <w:szCs w:val="24"/>
        </w:rPr>
        <w:t xml:space="preserve">se </w:t>
      </w:r>
      <w:r w:rsidRPr="00877AE6">
        <w:rPr>
          <w:rFonts w:ascii="Palatino Linotype" w:hAnsi="Palatino Linotype" w:cs="Arial"/>
          <w:sz w:val="24"/>
          <w:szCs w:val="24"/>
          <w:lang w:val="es-ES_tradnl"/>
        </w:rPr>
        <w:t xml:space="preserve">determino </w:t>
      </w:r>
      <w:r w:rsidR="004505EE" w:rsidRPr="00877AE6">
        <w:rPr>
          <w:rFonts w:ascii="Palatino Linotype" w:hAnsi="Palatino Linotype" w:cs="Arial"/>
          <w:sz w:val="24"/>
          <w:szCs w:val="24"/>
          <w:lang w:val="es-ES_tradnl"/>
        </w:rPr>
        <w:t>modificar</w:t>
      </w:r>
      <w:r w:rsidRPr="00877AE6">
        <w:rPr>
          <w:rFonts w:ascii="Palatino Linotype" w:hAnsi="Palatino Linotype" w:cs="Arial"/>
          <w:sz w:val="24"/>
          <w:szCs w:val="24"/>
          <w:lang w:val="es-ES_tradnl"/>
        </w:rPr>
        <w:t xml:space="preserve"> </w:t>
      </w:r>
      <w:r w:rsidR="004505EE" w:rsidRPr="00877AE6">
        <w:rPr>
          <w:rFonts w:ascii="Palatino Linotype" w:hAnsi="Palatino Linotype" w:cs="Arial"/>
          <w:sz w:val="24"/>
          <w:szCs w:val="24"/>
          <w:lang w:val="es-ES_tradnl"/>
        </w:rPr>
        <w:t xml:space="preserve">la respuesta entregada por el Sujeto Obligado a la solicitud de información número </w:t>
      </w:r>
      <w:r w:rsidR="004505EE" w:rsidRPr="00877AE6">
        <w:rPr>
          <w:rFonts w:ascii="Palatino Linotype" w:hAnsi="Palatino Linotype" w:cs="Arial"/>
          <w:b/>
          <w:sz w:val="24"/>
          <w:szCs w:val="24"/>
          <w:lang w:val="es-ES_tradnl"/>
        </w:rPr>
        <w:t>00453/PJUDICI/IP/2018</w:t>
      </w:r>
      <w:r w:rsidRPr="00877AE6">
        <w:rPr>
          <w:rFonts w:ascii="Palatino Linotype" w:eastAsia="Calibri" w:hAnsi="Palatino Linotype" w:cs="Arial"/>
          <w:sz w:val="24"/>
          <w:szCs w:val="24"/>
        </w:rPr>
        <w:t>. Aspecto que ciertamente se comparte</w:t>
      </w:r>
      <w:r w:rsidR="00630750" w:rsidRPr="00877AE6">
        <w:rPr>
          <w:rFonts w:ascii="Palatino Linotype" w:eastAsia="Calibri" w:hAnsi="Palatino Linotype" w:cs="Arial"/>
          <w:sz w:val="24"/>
          <w:szCs w:val="24"/>
        </w:rPr>
        <w:t>;</w:t>
      </w:r>
      <w:r w:rsidRPr="00877AE6">
        <w:rPr>
          <w:rFonts w:ascii="Palatino Linotype" w:eastAsia="Calibri" w:hAnsi="Palatino Linotype" w:cs="Arial"/>
          <w:sz w:val="24"/>
          <w:szCs w:val="24"/>
        </w:rPr>
        <w:t xml:space="preserve"> empero, no en el sentido planteado por la Ponencia Resolutora como se precisara en párrafos posteriores.</w:t>
      </w:r>
    </w:p>
    <w:p w:rsidR="00362134" w:rsidRPr="00877AE6" w:rsidRDefault="00362134" w:rsidP="00362134">
      <w:pPr>
        <w:pStyle w:val="Prrafodelista"/>
        <w:rPr>
          <w:rFonts w:ascii="Palatino Linotype" w:hAnsi="Palatino Linotype" w:cs="Arial"/>
          <w:bCs/>
          <w:sz w:val="24"/>
          <w:szCs w:val="24"/>
          <w:shd w:val="clear" w:color="auto" w:fill="FFFFFF"/>
        </w:rPr>
      </w:pPr>
    </w:p>
    <w:p w:rsidR="00187610" w:rsidRPr="00877AE6" w:rsidRDefault="00187610" w:rsidP="00187610">
      <w:pPr>
        <w:pStyle w:val="Prrafodelista"/>
        <w:rPr>
          <w:rFonts w:ascii="Palatino Linotype" w:eastAsia="Calibri" w:hAnsi="Palatino Linotype" w:cs="Arial"/>
          <w:sz w:val="24"/>
          <w:szCs w:val="24"/>
          <w:lang w:val="es-ES"/>
        </w:rPr>
      </w:pP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3" w:name="_Toc527994042"/>
      <w:r w:rsidRPr="00877AE6">
        <w:rPr>
          <w:rFonts w:ascii="Palatino Linotype" w:eastAsia="Calibri" w:hAnsi="Palatino Linotype"/>
          <w:b/>
          <w:color w:val="auto"/>
          <w:sz w:val="24"/>
          <w:szCs w:val="24"/>
          <w:lang w:val="es-ES"/>
        </w:rPr>
        <w:lastRenderedPageBreak/>
        <w:t>De los requerimientos planteados en el recurso de revisión.</w:t>
      </w:r>
      <w:bookmarkEnd w:id="3"/>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B5044C">
      <w:pPr>
        <w:numPr>
          <w:ilvl w:val="0"/>
          <w:numId w:val="2"/>
        </w:numPr>
        <w:spacing w:after="0" w:line="360" w:lineRule="auto"/>
        <w:ind w:left="426" w:hanging="426"/>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el </w:t>
      </w:r>
      <w:r w:rsidR="00FE083B">
        <w:rPr>
          <w:rFonts w:ascii="Palatino Linotype" w:hAnsi="Palatino Linotype" w:cs="Arial"/>
          <w:szCs w:val="20"/>
        </w:rPr>
        <w:t>Poder Judicial</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187610" w:rsidRPr="00877AE6" w:rsidRDefault="00187610" w:rsidP="00A766F3">
      <w:pPr>
        <w:spacing w:before="240" w:line="360" w:lineRule="auto"/>
        <w:ind w:left="348"/>
        <w:jc w:val="both"/>
        <w:rPr>
          <w:rFonts w:ascii="Palatino Linotype" w:hAnsi="Palatino Linotype" w:cs="Arial"/>
          <w:b/>
          <w:sz w:val="24"/>
          <w:szCs w:val="24"/>
        </w:rPr>
      </w:pPr>
      <w:r w:rsidRPr="00877AE6">
        <w:rPr>
          <w:rFonts w:ascii="Palatino Linotype" w:hAnsi="Palatino Linotype" w:cs="Arial"/>
          <w:b/>
          <w:sz w:val="24"/>
          <w:szCs w:val="24"/>
        </w:rPr>
        <w:t xml:space="preserve">Solicitud </w:t>
      </w:r>
      <w:r w:rsidR="00FE083B" w:rsidRPr="00FE083B">
        <w:rPr>
          <w:rFonts w:ascii="Palatino Linotype" w:hAnsi="Palatino Linotype"/>
          <w:b/>
          <w:bCs/>
          <w:sz w:val="24"/>
          <w:szCs w:val="24"/>
        </w:rPr>
        <w:t>00453/PJUDICI/IP/2018</w:t>
      </w:r>
      <w:r w:rsidRPr="00877AE6">
        <w:rPr>
          <w:rFonts w:ascii="Palatino Linotype" w:hAnsi="Palatino Linotype" w:cs="Arial"/>
          <w:b/>
          <w:sz w:val="24"/>
          <w:szCs w:val="24"/>
        </w:rPr>
        <w:t>:</w:t>
      </w:r>
    </w:p>
    <w:p w:rsidR="00362134" w:rsidRPr="00877AE6" w:rsidRDefault="00362134" w:rsidP="00362134">
      <w:pPr>
        <w:spacing w:before="80" w:after="120"/>
        <w:ind w:left="709" w:right="709"/>
        <w:jc w:val="both"/>
        <w:rPr>
          <w:rFonts w:ascii="Palatino Linotype" w:hAnsi="Palatino Linotype"/>
          <w:sz w:val="24"/>
          <w:szCs w:val="24"/>
        </w:rPr>
      </w:pPr>
      <w:r w:rsidRPr="00877AE6">
        <w:rPr>
          <w:rFonts w:ascii="Palatino Linotype" w:hAnsi="Palatino Linotype" w:cs="Arial"/>
          <w:i/>
          <w:sz w:val="24"/>
          <w:szCs w:val="24"/>
        </w:rPr>
        <w:t>“</w:t>
      </w:r>
      <w:r w:rsidR="004505EE" w:rsidRPr="00877AE6">
        <w:rPr>
          <w:rFonts w:ascii="Palatino Linotype" w:hAnsi="Palatino Linotype" w:cs="Arial"/>
          <w:i/>
          <w:sz w:val="24"/>
          <w:szCs w:val="24"/>
        </w:rPr>
        <w:t xml:space="preserve">Copias simples de todo lo actuado en el expediente </w:t>
      </w:r>
      <w:r w:rsidR="00254ED9">
        <w:rPr>
          <w:rFonts w:ascii="Palatino Linotype" w:hAnsi="Palatino Linotype" w:cs="Arial"/>
          <w:i/>
          <w:sz w:val="24"/>
          <w:szCs w:val="24"/>
        </w:rPr>
        <w:t>XXXXXX</w:t>
      </w:r>
      <w:r w:rsidR="004505EE" w:rsidRPr="00877AE6">
        <w:rPr>
          <w:rFonts w:ascii="Palatino Linotype" w:hAnsi="Palatino Linotype" w:cs="Arial"/>
          <w:i/>
          <w:sz w:val="24"/>
          <w:szCs w:val="24"/>
        </w:rPr>
        <w:t xml:space="preserve"> radicado en el juzgado décimo primero familiar en el distrito judicial de tlalnepantla con residencia en Huixquilucan.</w:t>
      </w:r>
      <w:r w:rsidRPr="00877AE6">
        <w:rPr>
          <w:rFonts w:ascii="Palatino Linotype" w:hAnsi="Palatino Linotype" w:cs="Arial"/>
          <w:i/>
          <w:sz w:val="24"/>
          <w:szCs w:val="24"/>
        </w:rPr>
        <w:t xml:space="preserve">” </w:t>
      </w:r>
      <w:r w:rsidRPr="00877AE6">
        <w:rPr>
          <w:rFonts w:ascii="Palatino Linotype" w:hAnsi="Palatino Linotype"/>
          <w:sz w:val="24"/>
          <w:szCs w:val="24"/>
        </w:rPr>
        <w:t>(Sic).</w:t>
      </w:r>
    </w:p>
    <w:p w:rsidR="00187610" w:rsidRPr="00877AE6" w:rsidRDefault="00187610" w:rsidP="00A766F3">
      <w:pPr>
        <w:ind w:left="1199" w:right="900"/>
        <w:jc w:val="both"/>
        <w:rPr>
          <w:rFonts w:ascii="Palatino Linotype" w:hAnsi="Palatino Linotype"/>
          <w:i/>
          <w:color w:val="000000"/>
          <w:sz w:val="24"/>
          <w:szCs w:val="24"/>
        </w:rPr>
      </w:pPr>
    </w:p>
    <w:p w:rsidR="00A766F3" w:rsidRPr="00877AE6" w:rsidRDefault="00A766F3" w:rsidP="00A766F3">
      <w:pPr>
        <w:numPr>
          <w:ilvl w:val="0"/>
          <w:numId w:val="2"/>
        </w:numPr>
        <w:spacing w:after="0" w:line="360" w:lineRule="auto"/>
        <w:ind w:left="426" w:hanging="426"/>
        <w:contextualSpacing/>
        <w:jc w:val="both"/>
        <w:rPr>
          <w:rFonts w:ascii="Palatino Linotype" w:hAnsi="Palatino Linotype" w:cs="Arial"/>
          <w:sz w:val="24"/>
          <w:szCs w:val="24"/>
        </w:rPr>
      </w:pPr>
      <w:r w:rsidRPr="00877AE6">
        <w:rPr>
          <w:rFonts w:ascii="Palatino Linotype" w:eastAsia="Calibri" w:hAnsi="Palatino Linotype" w:cs="Arial"/>
          <w:sz w:val="24"/>
          <w:szCs w:val="24"/>
          <w:lang w:val="es-ES"/>
        </w:rPr>
        <w:t>Inconforme</w:t>
      </w:r>
      <w:r w:rsidRPr="00877AE6">
        <w:rPr>
          <w:rFonts w:ascii="Palatino Linotype" w:hAnsi="Palatino Linotype" w:cs="Arial"/>
          <w:sz w:val="24"/>
          <w:szCs w:val="24"/>
        </w:rPr>
        <w:t xml:space="preserve"> el solicitante con la respuesta por </w:t>
      </w:r>
      <w:r w:rsidR="00362134" w:rsidRPr="00877AE6">
        <w:rPr>
          <w:rFonts w:ascii="Palatino Linotype" w:hAnsi="Palatino Linotype" w:cs="Arial"/>
          <w:sz w:val="24"/>
          <w:szCs w:val="24"/>
        </w:rPr>
        <w:t>parte d</w:t>
      </w:r>
      <w:r w:rsidRPr="00877AE6">
        <w:rPr>
          <w:rFonts w:ascii="Palatino Linotype" w:hAnsi="Palatino Linotype" w:cs="Arial"/>
          <w:sz w:val="24"/>
          <w:szCs w:val="24"/>
        </w:rPr>
        <w:t xml:space="preserve">el </w:t>
      </w:r>
      <w:r w:rsidRPr="00877AE6">
        <w:rPr>
          <w:rFonts w:ascii="Palatino Linotype" w:hAnsi="Palatino Linotype" w:cs="Arial"/>
          <w:b/>
          <w:sz w:val="24"/>
          <w:szCs w:val="24"/>
        </w:rPr>
        <w:t>Sujeto Obligado</w:t>
      </w:r>
      <w:r w:rsidR="00362134" w:rsidRPr="00877AE6">
        <w:rPr>
          <w:rFonts w:ascii="Palatino Linotype" w:hAnsi="Palatino Linotype" w:cs="Arial"/>
          <w:b/>
          <w:sz w:val="24"/>
          <w:szCs w:val="24"/>
        </w:rPr>
        <w:t>,</w:t>
      </w:r>
      <w:r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Pr="00877AE6">
        <w:rPr>
          <w:rFonts w:ascii="Palatino Linotype" w:hAnsi="Palatino Linotype" w:cs="Arial"/>
          <w:sz w:val="24"/>
          <w:szCs w:val="24"/>
        </w:rPr>
        <w:t xml:space="preserve">recursos de revisión </w:t>
      </w:r>
      <w:r w:rsidR="00362134" w:rsidRPr="00877AE6">
        <w:rPr>
          <w:rFonts w:ascii="Palatino Linotype" w:hAnsi="Palatino Linotype" w:cs="Arial"/>
          <w:sz w:val="24"/>
          <w:szCs w:val="24"/>
        </w:rPr>
        <w:t xml:space="preserve">respectivo a través del SAIMEX en fecha </w:t>
      </w:r>
      <w:r w:rsidR="004505EE" w:rsidRPr="00877AE6">
        <w:rPr>
          <w:rFonts w:ascii="Palatino Linotype" w:hAnsi="Palatino Linotype" w:cs="Arial"/>
          <w:sz w:val="24"/>
          <w:szCs w:val="24"/>
        </w:rPr>
        <w:t>cuatro</w:t>
      </w:r>
      <w:r w:rsidR="00362134" w:rsidRPr="00877AE6">
        <w:rPr>
          <w:rFonts w:ascii="Palatino Linotype" w:hAnsi="Palatino Linotype" w:cs="Arial"/>
          <w:sz w:val="24"/>
          <w:szCs w:val="24"/>
        </w:rPr>
        <w:t xml:space="preserve"> (</w:t>
      </w:r>
      <w:r w:rsidR="004505EE" w:rsidRPr="00877AE6">
        <w:rPr>
          <w:rFonts w:ascii="Palatino Linotype" w:hAnsi="Palatino Linotype" w:cs="Arial"/>
          <w:sz w:val="24"/>
          <w:szCs w:val="24"/>
        </w:rPr>
        <w:t>04</w:t>
      </w:r>
      <w:r w:rsidR="00362134" w:rsidRPr="00877AE6">
        <w:rPr>
          <w:rFonts w:ascii="Palatino Linotype" w:hAnsi="Palatino Linotype" w:cs="Arial"/>
          <w:sz w:val="24"/>
          <w:szCs w:val="24"/>
        </w:rPr>
        <w:t>)</w:t>
      </w:r>
      <w:r w:rsidRPr="00877AE6">
        <w:rPr>
          <w:rFonts w:ascii="Palatino Linotype" w:hAnsi="Palatino Linotype" w:cs="Arial"/>
          <w:sz w:val="24"/>
          <w:szCs w:val="24"/>
        </w:rPr>
        <w:t xml:space="preserve"> de </w:t>
      </w:r>
      <w:r w:rsidR="004505EE" w:rsidRPr="00877AE6">
        <w:rPr>
          <w:rFonts w:ascii="Palatino Linotype" w:hAnsi="Palatino Linotype" w:cs="Arial"/>
          <w:sz w:val="24"/>
          <w:szCs w:val="24"/>
        </w:rPr>
        <w:t>septiembre</w:t>
      </w:r>
      <w:r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dieciocho, a travé</w:t>
      </w:r>
      <w:bookmarkStart w:id="4" w:name="_GoBack"/>
      <w:bookmarkEnd w:id="4"/>
      <w:r w:rsidR="00362134" w:rsidRPr="00877AE6">
        <w:rPr>
          <w:rFonts w:ascii="Palatino Linotype" w:hAnsi="Palatino Linotype" w:cs="Arial"/>
          <w:sz w:val="24"/>
          <w:szCs w:val="24"/>
        </w:rPr>
        <w:t>s del</w:t>
      </w:r>
      <w:r w:rsidRPr="00877AE6">
        <w:rPr>
          <w:rFonts w:ascii="Palatino Linotype" w:hAnsi="Palatino Linotype" w:cs="Arial"/>
          <w:sz w:val="24"/>
          <w:szCs w:val="24"/>
        </w:rPr>
        <w:t xml:space="preserve"> cual expresó lo siguiente:</w:t>
      </w:r>
    </w:p>
    <w:p w:rsidR="00362134" w:rsidRPr="00877AE6" w:rsidRDefault="00362134" w:rsidP="00A766F3">
      <w:pPr>
        <w:spacing w:line="360" w:lineRule="auto"/>
        <w:ind w:left="426"/>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t>a) Acto impugnado.</w:t>
      </w:r>
    </w:p>
    <w:p w:rsidR="00362134" w:rsidRPr="00877AE6"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t>“</w:t>
      </w:r>
      <w:r w:rsidR="00877AE6" w:rsidRPr="00877AE6">
        <w:rPr>
          <w:rFonts w:ascii="Palatino Linotype" w:hAnsi="Palatino Linotype" w:cs="Arial"/>
          <w:i/>
          <w:sz w:val="24"/>
          <w:szCs w:val="24"/>
          <w:lang w:eastAsia="es-MX"/>
        </w:rPr>
        <w:t xml:space="preserve">respuesta de fecha 22 de agosto del 2018 en donde menciona que no se me puede hacer entrega de copias simples de todo lo actuado relativo al expediente </w:t>
      </w:r>
      <w:r w:rsidR="00034553">
        <w:rPr>
          <w:rFonts w:ascii="Palatino Linotype" w:hAnsi="Palatino Linotype" w:cs="Arial"/>
          <w:i/>
          <w:sz w:val="24"/>
          <w:szCs w:val="24"/>
          <w:lang w:eastAsia="es-MX"/>
        </w:rPr>
        <w:t>XXXXX</w:t>
      </w:r>
      <w:r w:rsidR="00877AE6" w:rsidRPr="00877AE6">
        <w:rPr>
          <w:rFonts w:ascii="Palatino Linotype" w:hAnsi="Palatino Linotype" w:cs="Arial"/>
          <w:i/>
          <w:sz w:val="24"/>
          <w:szCs w:val="24"/>
          <w:lang w:eastAsia="es-MX"/>
        </w:rPr>
        <w:t xml:space="preserve"> en virtud de que no ha causado estado. Cuando en el mismo solo existe una actuación.</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362134" w:rsidRPr="00877AE6" w:rsidRDefault="00362134" w:rsidP="00A13BDF">
      <w:pPr>
        <w:spacing w:line="360" w:lineRule="auto"/>
        <w:ind w:left="709"/>
        <w:jc w:val="both"/>
        <w:rPr>
          <w:rFonts w:ascii="Palatino Linotype" w:hAnsi="Palatino Linotype" w:cs="Arial"/>
          <w:b/>
          <w:sz w:val="24"/>
          <w:szCs w:val="24"/>
        </w:rPr>
      </w:pP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362134" w:rsidP="00A13BDF">
      <w:pPr>
        <w:spacing w:before="200" w:after="200"/>
        <w:ind w:left="709" w:right="709"/>
        <w:jc w:val="both"/>
        <w:rPr>
          <w:rFonts w:ascii="Palatino Linotype" w:hAnsi="Palatino Linotype" w:cs="Arial"/>
          <w:spacing w:val="-6"/>
          <w:sz w:val="24"/>
          <w:szCs w:val="24"/>
          <w:lang w:eastAsia="es-MX"/>
        </w:rPr>
      </w:pPr>
      <w:r w:rsidRPr="00877AE6">
        <w:rPr>
          <w:rFonts w:ascii="Palatino Linotype" w:hAnsi="Palatino Linotype" w:cs="Arial"/>
          <w:i/>
          <w:spacing w:val="-6"/>
          <w:sz w:val="24"/>
          <w:szCs w:val="24"/>
          <w:lang w:eastAsia="es-MX"/>
        </w:rPr>
        <w:lastRenderedPageBreak/>
        <w:t>“</w:t>
      </w:r>
      <w:r w:rsidR="00877AE6" w:rsidRPr="00877AE6">
        <w:rPr>
          <w:rFonts w:ascii="Palatino Linotype" w:hAnsi="Palatino Linotype" w:cs="Arial"/>
          <w:i/>
          <w:sz w:val="24"/>
          <w:szCs w:val="24"/>
          <w:lang w:eastAsia="es-MX"/>
        </w:rPr>
        <w:t>solo existe un actuación el expediente por lo que a estas alturas ya tendría que haber causado estado.</w:t>
      </w:r>
      <w:r w:rsidRPr="00877AE6">
        <w:rPr>
          <w:rFonts w:ascii="Palatino Linotype" w:hAnsi="Palatino Linotype" w:cs="Arial"/>
          <w:i/>
          <w:sz w:val="24"/>
          <w:szCs w:val="24"/>
          <w:lang w:eastAsia="es-MX"/>
        </w:rPr>
        <w:t>”</w:t>
      </w:r>
      <w:r w:rsidRPr="00877AE6">
        <w:rPr>
          <w:rFonts w:ascii="Palatino Linotype" w:hAnsi="Palatino Linotype" w:cs="Arial"/>
          <w:i/>
          <w:spacing w:val="-6"/>
          <w:sz w:val="24"/>
          <w:szCs w:val="24"/>
          <w:lang w:eastAsia="es-MX"/>
        </w:rPr>
        <w:t xml:space="preserve"> </w:t>
      </w:r>
      <w:r w:rsidRPr="00877AE6">
        <w:rPr>
          <w:rFonts w:ascii="Palatino Linotype" w:hAnsi="Palatino Linotype" w:cs="Arial"/>
          <w:spacing w:val="-6"/>
          <w:sz w:val="24"/>
          <w:szCs w:val="24"/>
          <w:lang w:eastAsia="es-MX"/>
        </w:rPr>
        <w:t>(Sic)</w:t>
      </w:r>
    </w:p>
    <w:p w:rsidR="000C6443" w:rsidRPr="00877AE6" w:rsidRDefault="000C6443" w:rsidP="00A766F3">
      <w:pPr>
        <w:spacing w:before="240" w:after="240"/>
        <w:ind w:left="1277" w:right="900"/>
        <w:jc w:val="both"/>
        <w:rPr>
          <w:rFonts w:ascii="Palatino Linotype" w:hAnsi="Palatino Linotype"/>
          <w:i/>
          <w:color w:val="000000"/>
          <w:sz w:val="24"/>
          <w:szCs w:val="24"/>
        </w:rPr>
      </w:pPr>
    </w:p>
    <w:p w:rsidR="000F1AD8" w:rsidRPr="00877AE6" w:rsidRDefault="00A7073D" w:rsidP="000F1AD8">
      <w:pPr>
        <w:pStyle w:val="Prrafodelista"/>
        <w:numPr>
          <w:ilvl w:val="0"/>
          <w:numId w:val="2"/>
        </w:numPr>
        <w:spacing w:after="0" w:line="360" w:lineRule="auto"/>
        <w:jc w:val="both"/>
        <w:rPr>
          <w:rFonts w:ascii="Palatino Linotype" w:eastAsia="Calibri" w:hAnsi="Palatino Linotype" w:cs="Arial"/>
          <w:sz w:val="24"/>
          <w:szCs w:val="24"/>
        </w:rPr>
      </w:pPr>
      <w:r w:rsidRPr="00877AE6">
        <w:rPr>
          <w:rFonts w:ascii="Palatino Linotype" w:hAnsi="Palatino Linotype" w:cs="Arial"/>
          <w:sz w:val="24"/>
          <w:szCs w:val="24"/>
        </w:rPr>
        <w:t>Bajo esas consideraciones, se advirtió que los motivos aduc</w:t>
      </w:r>
      <w:r w:rsidR="00630750" w:rsidRPr="00877AE6">
        <w:rPr>
          <w:rFonts w:ascii="Palatino Linotype" w:hAnsi="Palatino Linotype" w:cs="Arial"/>
          <w:sz w:val="24"/>
          <w:szCs w:val="24"/>
        </w:rPr>
        <w:t>idos por el recurrente, resultaban</w:t>
      </w:r>
      <w:r w:rsidRPr="00877AE6">
        <w:rPr>
          <w:rFonts w:ascii="Palatino Linotype" w:hAnsi="Palatino Linotype" w:cs="Arial"/>
          <w:sz w:val="24"/>
          <w:szCs w:val="24"/>
        </w:rPr>
        <w:t xml:space="preserve"> fundados pues efectivamente transcurrió el plazo para dar respuesta determinado por la Ley de la Materia, por lo que </w:t>
      </w:r>
      <w:r w:rsidR="00362134" w:rsidRPr="00877AE6">
        <w:rPr>
          <w:rFonts w:ascii="Palatino Linotype" w:hAnsi="Palatino Linotype" w:cs="Arial"/>
          <w:sz w:val="24"/>
          <w:szCs w:val="24"/>
        </w:rPr>
        <w:t>la Ponencia R</w:t>
      </w:r>
      <w:r w:rsidR="008C2121" w:rsidRPr="00877AE6">
        <w:rPr>
          <w:rFonts w:ascii="Palatino Linotype" w:hAnsi="Palatino Linotype" w:cs="Arial"/>
          <w:sz w:val="24"/>
          <w:szCs w:val="24"/>
        </w:rPr>
        <w:t xml:space="preserve">esolutora </w:t>
      </w:r>
      <w:r w:rsidR="000F1AD8" w:rsidRPr="00877AE6">
        <w:rPr>
          <w:rFonts w:ascii="Palatino Linotype" w:hAnsi="Palatino Linotype" w:cs="Arial"/>
          <w:sz w:val="24"/>
          <w:szCs w:val="24"/>
        </w:rPr>
        <w:t>procedió al análisis del recurso</w:t>
      </w:r>
      <w:r w:rsidRPr="00877AE6">
        <w:rPr>
          <w:rFonts w:ascii="Palatino Linotype" w:hAnsi="Palatino Linotype" w:cs="Arial"/>
          <w:sz w:val="24"/>
          <w:szCs w:val="24"/>
        </w:rPr>
        <w:t xml:space="preserve"> de revisión</w:t>
      </w:r>
      <w:r w:rsidR="000F1AD8" w:rsidRPr="00877AE6">
        <w:rPr>
          <w:rFonts w:ascii="Palatino Linotype" w:hAnsi="Palatino Linotype" w:cs="Arial"/>
          <w:sz w:val="24"/>
          <w:szCs w:val="24"/>
        </w:rPr>
        <w:t>.</w:t>
      </w:r>
    </w:p>
    <w:p w:rsidR="00877AE6" w:rsidRPr="00877AE6" w:rsidRDefault="00877AE6" w:rsidP="00877AE6">
      <w:pPr>
        <w:pStyle w:val="Prrafodelista"/>
        <w:spacing w:after="0" w:line="360" w:lineRule="auto"/>
        <w:ind w:left="360"/>
        <w:jc w:val="both"/>
        <w:rPr>
          <w:rFonts w:ascii="Palatino Linotype" w:eastAsia="Calibri" w:hAnsi="Palatino Linotype" w:cs="Arial"/>
          <w:sz w:val="24"/>
          <w:szCs w:val="24"/>
        </w:rPr>
      </w:pPr>
    </w:p>
    <w:p w:rsidR="00877AE6" w:rsidRPr="00877AE6" w:rsidRDefault="00877AE6" w:rsidP="00877AE6">
      <w:pPr>
        <w:pStyle w:val="Ttulo1"/>
        <w:rPr>
          <w:rFonts w:ascii="Palatino Linotype" w:hAnsi="Palatino Linotype"/>
          <w:b/>
          <w:color w:val="000000" w:themeColor="text1"/>
          <w:sz w:val="24"/>
          <w:szCs w:val="24"/>
        </w:rPr>
      </w:pPr>
      <w:bookmarkStart w:id="5" w:name="_Toc527994043"/>
      <w:r w:rsidRPr="00877AE6">
        <w:rPr>
          <w:rFonts w:ascii="Palatino Linotype" w:hAnsi="Palatino Linotype"/>
          <w:b/>
          <w:color w:val="000000" w:themeColor="text1"/>
          <w:sz w:val="24"/>
          <w:szCs w:val="24"/>
        </w:rPr>
        <w:t>De la respuesta del Sujeto Obligado.</w:t>
      </w:r>
      <w:bookmarkEnd w:id="5"/>
    </w:p>
    <w:p w:rsidR="00877AE6" w:rsidRPr="00877AE6" w:rsidRDefault="00877AE6" w:rsidP="00877AE6">
      <w:pPr>
        <w:spacing w:line="360" w:lineRule="auto"/>
        <w:rPr>
          <w:rFonts w:ascii="Palatino Linotype" w:hAnsi="Palatino Linotype"/>
          <w:color w:val="000000" w:themeColor="text1"/>
          <w:sz w:val="24"/>
          <w:szCs w:val="24"/>
        </w:rPr>
      </w:pPr>
    </w:p>
    <w:p w:rsidR="00877AE6" w:rsidRPr="00877AE6" w:rsidRDefault="00877AE6" w:rsidP="00877AE6">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color w:val="000000"/>
          <w:sz w:val="24"/>
          <w:szCs w:val="24"/>
        </w:rPr>
        <w:t>Como ya fue precisado,</w:t>
      </w:r>
      <w:r w:rsidRPr="00877AE6">
        <w:rPr>
          <w:rFonts w:ascii="Palatino Linotype" w:hAnsi="Palatino Linotype" w:cs="Arial"/>
          <w:sz w:val="24"/>
          <w:szCs w:val="24"/>
        </w:rPr>
        <w:t xml:space="preserve"> el Sujeto Obligado refiere que la información resulta reservada al tenor de que la información </w:t>
      </w:r>
      <w:r w:rsidRPr="00877AE6">
        <w:rPr>
          <w:rFonts w:ascii="Palatino Linotype" w:hAnsi="Palatino Linotype"/>
          <w:sz w:val="24"/>
          <w:szCs w:val="24"/>
        </w:rPr>
        <w:t>dicho expediente no ha quedado firme, siendo ello una causal de reserva y viéndose por tanto, imposibilitado a hacer entrega de la información solicitada, al haber sido</w:t>
      </w:r>
      <w:r w:rsidRPr="00877AE6">
        <w:rPr>
          <w:rFonts w:ascii="Palatino Linotype" w:hAnsi="Palatino Linotype" w:cs="Arial"/>
          <w:sz w:val="24"/>
          <w:szCs w:val="24"/>
        </w:rPr>
        <w:t xml:space="preserve"> clasificado como reservado por un plazo de cinco años o bien en tanto no cause estado; de conformidad con lo acordado en la Sesión Extraordinaria del Comité de Transparencia y Acceso a la Información Pública del Poder Judicial del Estado de México número 15/2018, y que dicha sesión puede ser consultada en el siguiente link http://www.pjedomex.gob.mx/transparencia/#; </w:t>
      </w:r>
      <w:r w:rsidRPr="00877AE6">
        <w:rPr>
          <w:rFonts w:ascii="Palatino Linotype" w:hAnsi="Palatino Linotype"/>
          <w:sz w:val="24"/>
          <w:szCs w:val="24"/>
        </w:rPr>
        <w:t>y en consecuencia aquello que desea conocer el particular, al formar parte de un procedimiento que se encuentra en trámite</w:t>
      </w:r>
      <w:r w:rsidRPr="00877AE6">
        <w:rPr>
          <w:rFonts w:ascii="Palatino Linotype" w:hAnsi="Palatino Linotype" w:cs="Arial"/>
          <w:sz w:val="24"/>
          <w:szCs w:val="24"/>
        </w:rPr>
        <w:t xml:space="preserve">. </w:t>
      </w:r>
    </w:p>
    <w:p w:rsidR="00877AE6" w:rsidRPr="00877AE6" w:rsidRDefault="00877AE6" w:rsidP="00877AE6">
      <w:pPr>
        <w:pStyle w:val="Prrafodelista"/>
        <w:numPr>
          <w:ilvl w:val="0"/>
          <w:numId w:val="2"/>
        </w:numPr>
        <w:spacing w:after="0" w:line="360" w:lineRule="auto"/>
        <w:ind w:left="284" w:right="49" w:hanging="284"/>
        <w:jc w:val="both"/>
        <w:rPr>
          <w:rFonts w:ascii="Palatino Linotype" w:hAnsi="Palatino Linotype" w:cs="Arial"/>
          <w:sz w:val="24"/>
          <w:szCs w:val="24"/>
        </w:rPr>
      </w:pPr>
      <w:r>
        <w:rPr>
          <w:rFonts w:ascii="Palatino Linotype" w:hAnsi="Palatino Linotype" w:cs="Arial"/>
          <w:sz w:val="24"/>
          <w:szCs w:val="24"/>
        </w:rPr>
        <w:lastRenderedPageBreak/>
        <w:t>Sin embargo</w:t>
      </w:r>
      <w:r w:rsidRPr="00877AE6">
        <w:rPr>
          <w:rFonts w:ascii="Palatino Linotype" w:hAnsi="Palatino Linotype" w:cs="Arial"/>
          <w:sz w:val="24"/>
          <w:szCs w:val="24"/>
        </w:rPr>
        <w:t>,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La existencia de un juicio o procedimiento administrativo materialmente jurisdiccional. </w:t>
      </w:r>
    </w:p>
    <w:p w:rsidR="00877AE6" w:rsidRPr="00877AE6" w:rsidRDefault="00877AE6" w:rsidP="00877AE6">
      <w:pPr>
        <w:pStyle w:val="Prrafodelista"/>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Que el juicio se encuentre en trámite, es decir, que no haya causado estad.</w:t>
      </w:r>
    </w:p>
    <w:p w:rsidR="00877AE6" w:rsidRPr="00877AE6" w:rsidRDefault="00877AE6" w:rsidP="00877AE6">
      <w:pPr>
        <w:spacing w:line="360" w:lineRule="auto"/>
        <w:ind w:left="567" w:right="616" w:hanging="11"/>
        <w:jc w:val="both"/>
        <w:rPr>
          <w:rFonts w:ascii="Palatino Linotype" w:hAnsi="Palatino Linotype" w:cs="Arial"/>
          <w:b/>
          <w:sz w:val="24"/>
          <w:szCs w:val="24"/>
        </w:rPr>
      </w:pPr>
      <w:r w:rsidRPr="00877AE6">
        <w:rPr>
          <w:rFonts w:ascii="Palatino Linotype" w:hAnsi="Palatino Linotype" w:cs="Arial"/>
          <w:b/>
          <w:sz w:val="24"/>
          <w:szCs w:val="24"/>
        </w:rPr>
        <w:t xml:space="preserve"> </w:t>
      </w: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El vínculo entre la información solicitada y el procedimiento judicial de que se trate. </w:t>
      </w:r>
    </w:p>
    <w:p w:rsidR="00877AE6" w:rsidRPr="00877AE6" w:rsidRDefault="00877AE6" w:rsidP="00877AE6">
      <w:pPr>
        <w:spacing w:line="360" w:lineRule="auto"/>
        <w:ind w:left="567" w:right="616" w:hanging="11"/>
        <w:jc w:val="both"/>
        <w:rPr>
          <w:rFonts w:ascii="Palatino Linotype" w:hAnsi="Palatino Linotype" w:cs="Arial"/>
          <w:b/>
          <w:sz w:val="24"/>
          <w:szCs w:val="24"/>
        </w:rPr>
      </w:pPr>
    </w:p>
    <w:p w:rsidR="00877AE6" w:rsidRPr="00877AE6" w:rsidRDefault="00877AE6" w:rsidP="00877AE6">
      <w:pPr>
        <w:pStyle w:val="Prrafodelista"/>
        <w:numPr>
          <w:ilvl w:val="0"/>
          <w:numId w:val="41"/>
        </w:numPr>
        <w:spacing w:after="0" w:line="360" w:lineRule="auto"/>
        <w:ind w:left="851" w:right="616" w:hanging="295"/>
        <w:jc w:val="both"/>
        <w:rPr>
          <w:rFonts w:ascii="Palatino Linotype" w:hAnsi="Palatino Linotype" w:cs="Arial"/>
          <w:b/>
          <w:sz w:val="24"/>
          <w:szCs w:val="24"/>
        </w:rPr>
      </w:pPr>
      <w:r w:rsidRPr="00877AE6">
        <w:rPr>
          <w:rFonts w:ascii="Palatino Linotype" w:hAnsi="Palatino Linotype" w:cs="Arial"/>
          <w:b/>
          <w:sz w:val="24"/>
          <w:szCs w:val="24"/>
        </w:rPr>
        <w:t xml:space="preserve">Que la difusión de la información pueda causar un daño y/o perjuicio a las atribuciones del Tribunal durante el juicio, es decir, que el contenido de la información vulnere, impida u obstruya los procedimientos que se ventilan. </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before="240" w:after="240" w:line="360" w:lineRule="auto"/>
        <w:ind w:left="284" w:right="49" w:hanging="284"/>
        <w:jc w:val="both"/>
        <w:rPr>
          <w:rFonts w:ascii="Palatino Linotype" w:hAnsi="Palatino Linotype" w:cs="Arial"/>
          <w:sz w:val="24"/>
          <w:szCs w:val="24"/>
        </w:rPr>
      </w:pPr>
      <w:r w:rsidRPr="00877AE6">
        <w:rPr>
          <w:rFonts w:ascii="Palatino Linotype" w:hAnsi="Palatino Linotype" w:cs="Arial"/>
          <w:sz w:val="24"/>
          <w:szCs w:val="24"/>
        </w:rPr>
        <w:t xml:space="preserve">Por lo que, únicamente al configurarse los mismos, es procedente la reserva de la información, si uno de los requisitos faltase, no será en ningún momento posible su reserva. </w:t>
      </w:r>
    </w:p>
    <w:p w:rsidR="00877AE6" w:rsidRPr="00877AE6"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lastRenderedPageBreak/>
        <w:t xml:space="preserve">Del expediente, objeto de mi presente voto </w:t>
      </w:r>
      <w:r>
        <w:rPr>
          <w:rFonts w:ascii="Palatino Linotype" w:hAnsi="Palatino Linotype" w:cs="Arial"/>
          <w:sz w:val="24"/>
          <w:szCs w:val="24"/>
        </w:rPr>
        <w:t>particular</w:t>
      </w:r>
      <w:r w:rsidRPr="00877AE6">
        <w:rPr>
          <w:rFonts w:ascii="Palatino Linotype" w:hAnsi="Palatino Linotype" w:cs="Arial"/>
          <w:sz w:val="24"/>
          <w:szCs w:val="24"/>
        </w:rPr>
        <w:t xml:space="preserve">, advierto que del estudio minucioso de la resolución dictada por la </w:t>
      </w:r>
      <w:r w:rsidR="0057636B">
        <w:rPr>
          <w:rFonts w:ascii="Palatino Linotype" w:hAnsi="Palatino Linotype" w:cs="Arial"/>
          <w:sz w:val="24"/>
          <w:szCs w:val="24"/>
        </w:rPr>
        <w:t>P</w:t>
      </w:r>
      <w:r w:rsidRPr="00877AE6">
        <w:rPr>
          <w:rFonts w:ascii="Palatino Linotype" w:hAnsi="Palatino Linotype" w:cs="Arial"/>
          <w:sz w:val="24"/>
          <w:szCs w:val="24"/>
        </w:rPr>
        <w:t xml:space="preserve">onencia </w:t>
      </w:r>
      <w:r w:rsidR="0057636B">
        <w:rPr>
          <w:rFonts w:ascii="Palatino Linotype" w:hAnsi="Palatino Linotype" w:cs="Arial"/>
          <w:sz w:val="24"/>
          <w:szCs w:val="24"/>
        </w:rPr>
        <w:t>Resolutor</w:t>
      </w:r>
      <w:r w:rsidRPr="00877AE6">
        <w:rPr>
          <w:rFonts w:ascii="Palatino Linotype" w:hAnsi="Palatino Linotype" w:cs="Arial"/>
          <w:sz w:val="24"/>
          <w:szCs w:val="24"/>
        </w:rPr>
        <w:t xml:space="preserve">a, se desprende lo siguiente: </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40"/>
        </w:numPr>
        <w:spacing w:before="240" w:after="24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El Sujeto Obligado reservó la información sin analizar la naturaleza de la misma, sin ajustar las circunstancias de modo tiempo y lugar a la hipótesis que configura la reserva, por lo que la prueba de daño que pretendió realizar fue de manera incorrecta.</w:t>
      </w:r>
    </w:p>
    <w:p w:rsidR="00877AE6" w:rsidRPr="00877AE6" w:rsidRDefault="00877AE6" w:rsidP="00877AE6">
      <w:pPr>
        <w:pStyle w:val="Prrafodelista"/>
        <w:spacing w:before="240" w:after="240" w:line="360" w:lineRule="auto"/>
        <w:ind w:left="567" w:right="616" w:hanging="11"/>
        <w:jc w:val="both"/>
        <w:rPr>
          <w:rFonts w:ascii="Palatino Linotype" w:hAnsi="Palatino Linotype" w:cs="Arial"/>
          <w:sz w:val="24"/>
          <w:szCs w:val="24"/>
        </w:rPr>
      </w:pPr>
    </w:p>
    <w:p w:rsidR="00877AE6" w:rsidRPr="00877AE6" w:rsidRDefault="00877AE6" w:rsidP="00877AE6">
      <w:pPr>
        <w:pStyle w:val="Prrafodelista"/>
        <w:numPr>
          <w:ilvl w:val="0"/>
          <w:numId w:val="40"/>
        </w:numPr>
        <w:spacing w:after="0" w:line="360" w:lineRule="auto"/>
        <w:ind w:left="851" w:right="616" w:hanging="295"/>
        <w:jc w:val="both"/>
        <w:rPr>
          <w:rFonts w:ascii="Palatino Linotype" w:hAnsi="Palatino Linotype" w:cs="Arial"/>
          <w:sz w:val="24"/>
          <w:szCs w:val="24"/>
        </w:rPr>
      </w:pPr>
      <w:r w:rsidRPr="00877AE6">
        <w:rPr>
          <w:rFonts w:ascii="Palatino Linotype" w:hAnsi="Palatino Linotype" w:cs="Arial"/>
          <w:sz w:val="24"/>
          <w:szCs w:val="24"/>
        </w:rPr>
        <w:t xml:space="preserve">La ponencia tampoco analizó tales circunstancias, ni materializo la facultad que la ley confiere en sus artículos 182 y 185 de la Ley de la materia. </w:t>
      </w:r>
    </w:p>
    <w:p w:rsidR="00877AE6" w:rsidRPr="00877AE6" w:rsidRDefault="00877AE6" w:rsidP="00877AE6">
      <w:pPr>
        <w:pStyle w:val="Prrafodelista"/>
        <w:spacing w:line="360" w:lineRule="auto"/>
        <w:ind w:left="1571"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before="240" w:after="24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Respecto al análisis realizado por la ponencia resolutora tampoco analizó debidamente tales circunstancias, solamente se constriñe a señalar que </w:t>
      </w:r>
      <w:r>
        <w:rPr>
          <w:rFonts w:ascii="Palatino Linotype" w:hAnsi="Palatino Linotype" w:cs="Arial"/>
          <w:sz w:val="24"/>
          <w:szCs w:val="24"/>
        </w:rPr>
        <w:t xml:space="preserve">efectivamente el </w:t>
      </w:r>
      <w:r>
        <w:rPr>
          <w:rFonts w:ascii="Palatino Linotype" w:hAnsi="Palatino Linotype"/>
          <w:sz w:val="24"/>
          <w:szCs w:val="24"/>
        </w:rPr>
        <w:t>expediente</w:t>
      </w:r>
      <w:r w:rsidRPr="004D1175">
        <w:rPr>
          <w:rFonts w:ascii="Palatino Linotype" w:hAnsi="Palatino Linotype"/>
          <w:sz w:val="24"/>
          <w:szCs w:val="24"/>
        </w:rPr>
        <w:t xml:space="preserve"> judicial</w:t>
      </w:r>
      <w:r w:rsidRPr="00E47F87">
        <w:rPr>
          <w:rFonts w:ascii="Palatino Linotype" w:hAnsi="Palatino Linotype"/>
          <w:sz w:val="24"/>
          <w:szCs w:val="24"/>
        </w:rPr>
        <w:t xml:space="preserve"> </w:t>
      </w:r>
      <w:r>
        <w:rPr>
          <w:rFonts w:ascii="Palatino Linotype" w:hAnsi="Palatino Linotype"/>
          <w:sz w:val="24"/>
          <w:szCs w:val="24"/>
        </w:rPr>
        <w:t>al</w:t>
      </w:r>
      <w:r w:rsidRPr="00E47F87">
        <w:rPr>
          <w:rFonts w:ascii="Palatino Linotype" w:hAnsi="Palatino Linotype"/>
          <w:sz w:val="24"/>
          <w:szCs w:val="24"/>
        </w:rPr>
        <w:t xml:space="preserve"> no queda</w:t>
      </w:r>
      <w:r>
        <w:rPr>
          <w:rFonts w:ascii="Palatino Linotype" w:hAnsi="Palatino Linotype"/>
          <w:sz w:val="24"/>
          <w:szCs w:val="24"/>
        </w:rPr>
        <w:t>r firme, es</w:t>
      </w:r>
      <w:r w:rsidRPr="00E47F87">
        <w:rPr>
          <w:rFonts w:ascii="Palatino Linotype" w:hAnsi="Palatino Linotype"/>
          <w:sz w:val="24"/>
          <w:szCs w:val="24"/>
        </w:rPr>
        <w:t xml:space="preserve"> motivo por el cual el </w:t>
      </w:r>
      <w:r w:rsidRPr="00E47F87">
        <w:rPr>
          <w:rFonts w:ascii="Palatino Linotype" w:hAnsi="Palatino Linotype"/>
          <w:sz w:val="24"/>
          <w:szCs w:val="24"/>
        </w:rPr>
        <w:lastRenderedPageBreak/>
        <w:t xml:space="preserve">sujeto obligado no se encuentra en posibilidad de hacer entrega de lo solicitado; argumentos que </w:t>
      </w:r>
      <w:r>
        <w:rPr>
          <w:rFonts w:ascii="Palatino Linotype" w:hAnsi="Palatino Linotype"/>
          <w:sz w:val="24"/>
          <w:szCs w:val="24"/>
        </w:rPr>
        <w:t>a decir de la Ponencia Resolutora</w:t>
      </w:r>
      <w:r w:rsidRPr="00E47F87">
        <w:rPr>
          <w:rFonts w:ascii="Palatino Linotype" w:hAnsi="Palatino Linotype"/>
          <w:sz w:val="24"/>
          <w:szCs w:val="24"/>
        </w:rPr>
        <w:t xml:space="preserve"> considera suficientes para confirmar la respuesta otorgada por lo que a</w:t>
      </w:r>
      <w:r>
        <w:rPr>
          <w:rFonts w:ascii="Palatino Linotype" w:hAnsi="Palatino Linotype"/>
          <w:sz w:val="24"/>
          <w:szCs w:val="24"/>
        </w:rPr>
        <w:t xml:space="preserve"> la reserva de la información se refiere, siendo dable únicamente ordenar el acuerdo que clasifica como reservada la información</w:t>
      </w:r>
      <w:r w:rsidRPr="00877AE6">
        <w:rPr>
          <w:rFonts w:ascii="Palatino Linotype" w:hAnsi="Palatino Linotype" w:cs="Arial"/>
          <w:sz w:val="24"/>
          <w:szCs w:val="24"/>
        </w:rPr>
        <w:t xml:space="preserve">. </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Es imprescriptible señalar que en el presente año, este Órgano Resolutor ha sido sometido a un estricto control por parte del Instituto Nacional de Transparencia, Acceso a la Información y Protección de Datos Personales (INAI), como resultado de los Recursos de Inconformidad </w:t>
      </w:r>
      <w:r w:rsidRPr="00877AE6">
        <w:rPr>
          <w:rFonts w:ascii="Palatino Linotype" w:hAnsi="Palatino Linotype" w:cs="Arial"/>
          <w:sz w:val="24"/>
          <w:szCs w:val="24"/>
          <w:lang w:eastAsia="es-MX"/>
        </w:rPr>
        <w:t>069/18 y RIA 082/18</w:t>
      </w:r>
      <w:r w:rsidRPr="00877AE6">
        <w:rPr>
          <w:rFonts w:ascii="Palatino Linotype" w:hAnsi="Palatino Linotype" w:cs="Arial"/>
          <w:sz w:val="24"/>
          <w:szCs w:val="24"/>
        </w:rPr>
        <w:t xml:space="preserve">, en los que el Órgano Garante Nacional, puntualmente dirigió a este Órgano Garante local, que para invocar la causal de reserva, se deben de agotar todos y cada uno de los requisitos.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w:t>
      </w:r>
      <w:r w:rsidRPr="00877AE6">
        <w:rPr>
          <w:rFonts w:ascii="Palatino Linotype" w:hAnsi="Palatino Linotype" w:cs="Arial"/>
          <w:sz w:val="24"/>
          <w:szCs w:val="24"/>
        </w:rPr>
        <w:lastRenderedPageBreak/>
        <w:t xml:space="preserve">subjetivos, una generación de derechos, reclamo de una de las partes u otras que requieran un análisis sigiloso y confidencial del juzgador.   </w:t>
      </w:r>
    </w:p>
    <w:p w:rsidR="00877AE6" w:rsidRPr="00877AE6" w:rsidRDefault="00877AE6" w:rsidP="00877AE6">
      <w:pPr>
        <w:pStyle w:val="Prrafodelista"/>
        <w:spacing w:line="360" w:lineRule="auto"/>
        <w:ind w:left="0" w:right="49"/>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877AE6" w:rsidRPr="00877AE6" w:rsidRDefault="00877AE6" w:rsidP="00877AE6">
      <w:pPr>
        <w:pStyle w:val="Prrafodelista"/>
        <w:spacing w:line="360" w:lineRule="auto"/>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right="49" w:hanging="426"/>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877AE6" w:rsidRPr="00877AE6" w:rsidRDefault="00877AE6" w:rsidP="00877AE6">
      <w:pPr>
        <w:pStyle w:val="Prrafodelista"/>
        <w:spacing w:before="240" w:after="240" w:line="360" w:lineRule="auto"/>
        <w:ind w:left="0" w:right="49"/>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877AE6">
        <w:rPr>
          <w:rFonts w:ascii="Palatino Linotype" w:hAnsi="Palatino Linotype" w:cs="Arial"/>
          <w:b/>
          <w:sz w:val="24"/>
          <w:szCs w:val="24"/>
        </w:rPr>
        <w:t>considerando que algún nivel de gobierno tenga obligaciones reforzadas hacia ciertos derechos.</w:t>
      </w:r>
      <w:r w:rsidRPr="00877AE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877AE6">
        <w:rPr>
          <w:rFonts w:ascii="Palatino Linotype" w:hAnsi="Palatino Linotype" w:cs="Arial"/>
          <w:b/>
          <w:sz w:val="24"/>
          <w:szCs w:val="24"/>
        </w:rPr>
        <w:t xml:space="preserve">tomar </w:t>
      </w:r>
      <w:r w:rsidRPr="00877AE6">
        <w:rPr>
          <w:rFonts w:ascii="Palatino Linotype" w:hAnsi="Palatino Linotype" w:cs="Arial"/>
          <w:b/>
          <w:sz w:val="24"/>
          <w:szCs w:val="24"/>
        </w:rPr>
        <w:lastRenderedPageBreak/>
        <w:t>todas las medidas que sean pertinentes para tutelar y hacer eficaz un derecho</w:t>
      </w:r>
      <w:r w:rsidRPr="00877AE6">
        <w:rPr>
          <w:rFonts w:ascii="Palatino Linotype" w:hAnsi="Palatino Linotype" w:cs="Arial"/>
          <w:sz w:val="24"/>
          <w:szCs w:val="24"/>
        </w:rPr>
        <w:t>”.</w:t>
      </w:r>
      <w:r w:rsidRPr="00877AE6">
        <w:rPr>
          <w:rStyle w:val="Refdenotaalpie"/>
          <w:rFonts w:ascii="Palatino Linotype" w:hAnsi="Palatino Linotype" w:cs="Arial"/>
          <w:sz w:val="24"/>
          <w:szCs w:val="24"/>
        </w:rPr>
        <w:footnoteReference w:id="1"/>
      </w:r>
    </w:p>
    <w:p w:rsidR="00877AE6" w:rsidRPr="00877AE6" w:rsidRDefault="00877AE6" w:rsidP="00877AE6">
      <w:pPr>
        <w:pStyle w:val="Prrafodelista"/>
        <w:spacing w:line="360" w:lineRule="auto"/>
        <w:ind w:left="0"/>
        <w:jc w:val="both"/>
        <w:rPr>
          <w:rFonts w:ascii="Palatino Linotype" w:hAnsi="Palatino Linotype" w:cs="Arial"/>
          <w:sz w:val="24"/>
          <w:szCs w:val="24"/>
        </w:rPr>
      </w:pPr>
    </w:p>
    <w:p w:rsidR="00877AE6" w:rsidRPr="00877AE6" w:rsidRDefault="00877AE6" w:rsidP="00FE083B">
      <w:pPr>
        <w:pStyle w:val="Prrafodelista"/>
        <w:numPr>
          <w:ilvl w:val="0"/>
          <w:numId w:val="2"/>
        </w:numPr>
        <w:spacing w:after="0" w:line="360" w:lineRule="auto"/>
        <w:ind w:left="426" w:hanging="426"/>
        <w:jc w:val="both"/>
        <w:rPr>
          <w:rFonts w:ascii="Palatino Linotype" w:hAnsi="Palatino Linotype" w:cs="Arial"/>
          <w:sz w:val="24"/>
          <w:szCs w:val="24"/>
        </w:rPr>
      </w:pPr>
      <w:r w:rsidRPr="00877AE6">
        <w:rPr>
          <w:rFonts w:ascii="Palatino Linotype" w:hAnsi="Palatino Linotype" w:cs="Arial"/>
          <w:sz w:val="24"/>
          <w:szCs w:val="24"/>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“Artículo 185. El instituto resolverá el recurso de revisión conforme a lo siguiente:</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xml:space="preserve">(…) </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xml:space="preserve">V. La o el Comisionado ponente podrá determinar la celebración de audiencias con las partes durante la sustanciación del proceso. </w:t>
      </w:r>
    </w:p>
    <w:p w:rsidR="00877AE6" w:rsidRPr="00877AE6" w:rsidRDefault="00877AE6" w:rsidP="00877AE6">
      <w:pPr>
        <w:pStyle w:val="Prrafodelista"/>
        <w:spacing w:line="360" w:lineRule="auto"/>
        <w:ind w:left="851" w:right="616"/>
        <w:jc w:val="both"/>
        <w:rPr>
          <w:rFonts w:ascii="Palatino Linotype" w:hAnsi="Palatino Linotype" w:cs="Arial"/>
          <w:sz w:val="24"/>
          <w:szCs w:val="24"/>
        </w:rPr>
      </w:pPr>
      <w:r w:rsidRPr="00877AE6">
        <w:rPr>
          <w:rFonts w:ascii="Palatino Linotype" w:hAnsi="Palatino Linotype" w:cs="Arial"/>
          <w:sz w:val="24"/>
          <w:szCs w:val="24"/>
        </w:rPr>
        <w:t>(…) “</w:t>
      </w:r>
    </w:p>
    <w:p w:rsidR="00877AE6" w:rsidRPr="00877AE6" w:rsidRDefault="00877AE6" w:rsidP="00877AE6">
      <w:pPr>
        <w:spacing w:line="360" w:lineRule="auto"/>
        <w:jc w:val="both"/>
        <w:rPr>
          <w:rFonts w:ascii="Palatino Linotype" w:hAnsi="Palatino Linotype" w:cs="Arial"/>
          <w:sz w:val="24"/>
          <w:szCs w:val="24"/>
        </w:rPr>
      </w:pPr>
    </w:p>
    <w:p w:rsidR="00877AE6" w:rsidRPr="00877AE6" w:rsidRDefault="00877AE6" w:rsidP="00877AE6">
      <w:pPr>
        <w:pStyle w:val="Prrafodelista"/>
        <w:numPr>
          <w:ilvl w:val="0"/>
          <w:numId w:val="2"/>
        </w:numPr>
        <w:spacing w:after="0" w:line="360" w:lineRule="auto"/>
        <w:jc w:val="both"/>
        <w:rPr>
          <w:rFonts w:ascii="Palatino Linotype" w:hAnsi="Palatino Linotype" w:cs="Arial"/>
          <w:sz w:val="24"/>
          <w:szCs w:val="24"/>
        </w:rPr>
      </w:pPr>
      <w:r w:rsidRPr="00877AE6">
        <w:rPr>
          <w:rFonts w:ascii="Palatino Linotype" w:hAnsi="Palatino Linotype" w:cs="Arial"/>
          <w:sz w:val="24"/>
          <w:szCs w:val="24"/>
        </w:rPr>
        <w:t>En relación con</w:t>
      </w:r>
      <w:r w:rsidR="00FE083B">
        <w:rPr>
          <w:rFonts w:ascii="Palatino Linotype" w:hAnsi="Palatino Linotype" w:cs="Arial"/>
          <w:sz w:val="24"/>
          <w:szCs w:val="24"/>
        </w:rPr>
        <w:t xml:space="preserve"> lo anterior, considero que la Ponencia R</w:t>
      </w:r>
      <w:r w:rsidRPr="00877AE6">
        <w:rPr>
          <w:rFonts w:ascii="Palatino Linotype" w:hAnsi="Palatino Linotype" w:cs="Arial"/>
          <w:sz w:val="24"/>
          <w:szCs w:val="24"/>
        </w:rPr>
        <w:t>esolutora debió de pronunciarse sobre la naturaleza de lo requerid</w:t>
      </w:r>
      <w:r w:rsidR="00FE083B">
        <w:rPr>
          <w:rFonts w:ascii="Palatino Linotype" w:hAnsi="Palatino Linotype" w:cs="Arial"/>
          <w:sz w:val="24"/>
          <w:szCs w:val="24"/>
        </w:rPr>
        <w:t>o sin ningún tipo de ambigüedad;</w:t>
      </w:r>
      <w:r w:rsidRPr="00877AE6">
        <w:rPr>
          <w:rFonts w:ascii="Palatino Linotype" w:hAnsi="Palatino Linotype" w:cs="Arial"/>
          <w:sz w:val="24"/>
          <w:szCs w:val="24"/>
        </w:rPr>
        <w:t xml:space="preserve"> es decir, tuvo que determinar si la información tenía el carácter de reserva o no, </w:t>
      </w:r>
      <w:r w:rsidRPr="00877AE6">
        <w:rPr>
          <w:rFonts w:ascii="Palatino Linotype" w:hAnsi="Palatino Linotype" w:cs="Arial"/>
          <w:sz w:val="24"/>
          <w:szCs w:val="24"/>
        </w:rPr>
        <w:lastRenderedPageBreak/>
        <w:t xml:space="preserve">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877AE6" w:rsidRPr="00877AE6" w:rsidRDefault="00877AE6" w:rsidP="00877AE6">
      <w:pPr>
        <w:pStyle w:val="Prrafodelista"/>
        <w:spacing w:line="360" w:lineRule="auto"/>
        <w:ind w:left="360"/>
        <w:jc w:val="both"/>
        <w:rPr>
          <w:rFonts w:ascii="Palatino Linotype" w:hAnsi="Palatino Linotype" w:cs="Arial"/>
          <w:sz w:val="24"/>
          <w:szCs w:val="24"/>
        </w:rPr>
      </w:pPr>
    </w:p>
    <w:p w:rsidR="00FE083B" w:rsidRDefault="00FE083B" w:rsidP="00877AE6">
      <w:pPr>
        <w:pStyle w:val="Prrafodelista"/>
        <w:numPr>
          <w:ilvl w:val="0"/>
          <w:numId w:val="2"/>
        </w:numPr>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por lo que hace a este caso particular y a manera de conclusión, considero que debió dejarse la responsabilidad al Sujeto Obligado, para que </w:t>
      </w:r>
      <w:r w:rsidR="0057636B">
        <w:rPr>
          <w:rFonts w:ascii="Palatino Linotype" w:hAnsi="Palatino Linotype" w:cs="Arial"/>
          <w:sz w:val="24"/>
          <w:szCs w:val="24"/>
        </w:rPr>
        <w:t xml:space="preserve">fuese el quien </w:t>
      </w:r>
      <w:r>
        <w:rPr>
          <w:rFonts w:ascii="Palatino Linotype" w:hAnsi="Palatino Linotype" w:cs="Arial"/>
          <w:sz w:val="24"/>
          <w:szCs w:val="24"/>
        </w:rPr>
        <w:t>analizara si la información debía ser clasificada o no.</w:t>
      </w:r>
    </w:p>
    <w:p w:rsidR="00FE083B" w:rsidRPr="00FE083B" w:rsidRDefault="00FE083B" w:rsidP="00FE083B">
      <w:pPr>
        <w:pStyle w:val="Prrafodelista"/>
        <w:rPr>
          <w:rFonts w:ascii="Palatino Linotype" w:hAnsi="Palatino Linotype" w:cs="Arial"/>
          <w:sz w:val="24"/>
          <w:szCs w:val="24"/>
        </w:rPr>
      </w:pPr>
    </w:p>
    <w:p w:rsidR="003246CE" w:rsidRPr="00877AE6" w:rsidRDefault="00877AE6" w:rsidP="00877AE6">
      <w:pPr>
        <w:pStyle w:val="Prrafodelista"/>
        <w:numPr>
          <w:ilvl w:val="0"/>
          <w:numId w:val="2"/>
        </w:numPr>
        <w:spacing w:line="360" w:lineRule="auto"/>
        <w:jc w:val="both"/>
        <w:rPr>
          <w:rFonts w:ascii="Palatino Linotype" w:hAnsi="Palatino Linotype" w:cs="Arial"/>
          <w:sz w:val="24"/>
          <w:szCs w:val="24"/>
        </w:rPr>
      </w:pPr>
      <w:r w:rsidRPr="00877AE6">
        <w:rPr>
          <w:rFonts w:ascii="Palatino Linotype" w:hAnsi="Palatino Linotype" w:cs="Arial"/>
          <w:sz w:val="24"/>
          <w:szCs w:val="24"/>
        </w:rPr>
        <w:t xml:space="preserve">Una vez expuesto lo anterior, concluyo mi voto </w:t>
      </w:r>
      <w:r w:rsidR="0057636B">
        <w:rPr>
          <w:rFonts w:ascii="Palatino Linotype" w:hAnsi="Palatino Linotype" w:cs="Arial"/>
          <w:sz w:val="24"/>
          <w:szCs w:val="24"/>
        </w:rPr>
        <w:t>particular</w:t>
      </w:r>
      <w:r w:rsidRPr="00877AE6">
        <w:rPr>
          <w:rFonts w:ascii="Palatino Linotype" w:hAnsi="Palatino Linotype" w:cs="Arial"/>
          <w:sz w:val="24"/>
          <w:szCs w:val="24"/>
        </w:rPr>
        <w:t xml:space="preserve"> en la resolución materia del mismo.</w:t>
      </w:r>
    </w:p>
    <w:p w:rsidR="00466F45" w:rsidRPr="00877AE6" w:rsidRDefault="00466F45" w:rsidP="003246CE">
      <w:pPr>
        <w:pStyle w:val="Prrafodelista"/>
        <w:spacing w:after="0" w:line="360" w:lineRule="auto"/>
        <w:ind w:left="360"/>
        <w:jc w:val="both"/>
        <w:rPr>
          <w:rFonts w:ascii="Palatino Linotype" w:eastAsia="Calibri" w:hAnsi="Palatino Linotype" w:cs="Arial"/>
          <w:sz w:val="24"/>
          <w:szCs w:val="24"/>
        </w:rPr>
      </w:pPr>
    </w:p>
    <w:p w:rsidR="000D5AEA" w:rsidRPr="00877AE6" w:rsidRDefault="000D5AEA" w:rsidP="000D5AEA">
      <w:pPr>
        <w:spacing w:line="360" w:lineRule="auto"/>
        <w:ind w:left="360"/>
        <w:contextualSpacing/>
        <w:jc w:val="both"/>
        <w:rPr>
          <w:rFonts w:ascii="Palatino Linotype" w:eastAsia="Calibri" w:hAnsi="Palatino Linotype" w:cs="Arial"/>
          <w:sz w:val="24"/>
          <w:szCs w:val="24"/>
        </w:rPr>
      </w:pPr>
    </w:p>
    <w:p w:rsidR="000D5AEA" w:rsidRPr="00877AE6" w:rsidRDefault="000D5AEA" w:rsidP="000D5AEA">
      <w:pPr>
        <w:spacing w:line="360" w:lineRule="auto"/>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0D5AEA" w:rsidRPr="00877AE6" w:rsidRDefault="000D5AEA" w:rsidP="000D5AEA">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p w:rsidR="001F534C" w:rsidRPr="00877AE6" w:rsidRDefault="001F534C" w:rsidP="001F534C">
      <w:pPr>
        <w:rPr>
          <w:rFonts w:ascii="Palatino Linotype" w:eastAsia="Calibri" w:hAnsi="Palatino Linotype" w:cs="Times New Roman"/>
          <w:color w:val="0D0D0D" w:themeColor="text1" w:themeTint="F2"/>
          <w:sz w:val="24"/>
          <w:szCs w:val="24"/>
        </w:rPr>
      </w:pPr>
      <w:r>
        <w:rPr>
          <w:rFonts w:ascii="Palatino Linotype" w:eastAsia="Calibri" w:hAnsi="Palatino Linotype" w:cs="Arial"/>
          <w:b/>
          <w:color w:val="0D0D0D" w:themeColor="text1" w:themeTint="F2"/>
          <w:sz w:val="24"/>
          <w:szCs w:val="24"/>
        </w:rPr>
        <w:t>JGLH/MULR</w:t>
      </w:r>
    </w:p>
    <w:sectPr w:rsidR="001F534C" w:rsidRPr="00877AE6"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EC" w:rsidRDefault="001C33EC" w:rsidP="00E82D3D">
      <w:pPr>
        <w:spacing w:after="0" w:line="240" w:lineRule="auto"/>
      </w:pPr>
      <w:r>
        <w:separator/>
      </w:r>
    </w:p>
  </w:endnote>
  <w:endnote w:type="continuationSeparator" w:id="0">
    <w:p w:rsidR="001C33EC" w:rsidRDefault="001C33E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Content>
      <w:sdt>
        <w:sdtPr>
          <w:id w:val="-1769616900"/>
          <w:docPartObj>
            <w:docPartGallery w:val="Page Numbers (Top of Page)"/>
            <w:docPartUnique/>
          </w:docPartObj>
        </w:sdt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4553">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4553">
              <w:rPr>
                <w:b/>
                <w:bCs/>
                <w:noProof/>
              </w:rPr>
              <w:t>11</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EC" w:rsidRDefault="001C33EC" w:rsidP="00E82D3D">
      <w:pPr>
        <w:spacing w:after="0" w:line="240" w:lineRule="auto"/>
      </w:pPr>
      <w:r>
        <w:separator/>
      </w:r>
    </w:p>
  </w:footnote>
  <w:footnote w:type="continuationSeparator" w:id="0">
    <w:p w:rsidR="001C33EC" w:rsidRDefault="001C33EC"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54E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54E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254ED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1"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1"/>
  </w:num>
  <w:num w:numId="2">
    <w:abstractNumId w:val="27"/>
  </w:num>
  <w:num w:numId="3">
    <w:abstractNumId w:val="29"/>
  </w:num>
  <w:num w:numId="4">
    <w:abstractNumId w:val="34"/>
  </w:num>
  <w:num w:numId="5">
    <w:abstractNumId w:val="31"/>
  </w:num>
  <w:num w:numId="6">
    <w:abstractNumId w:val="32"/>
  </w:num>
  <w:num w:numId="7">
    <w:abstractNumId w:val="25"/>
  </w:num>
  <w:num w:numId="8">
    <w:abstractNumId w:val="4"/>
  </w:num>
  <w:num w:numId="9">
    <w:abstractNumId w:val="0"/>
  </w:num>
  <w:num w:numId="10">
    <w:abstractNumId w:val="17"/>
  </w:num>
  <w:num w:numId="11">
    <w:abstractNumId w:val="23"/>
  </w:num>
  <w:num w:numId="12">
    <w:abstractNumId w:val="5"/>
  </w:num>
  <w:num w:numId="13">
    <w:abstractNumId w:val="28"/>
  </w:num>
  <w:num w:numId="14">
    <w:abstractNumId w:val="40"/>
  </w:num>
  <w:num w:numId="15">
    <w:abstractNumId w:val="1"/>
  </w:num>
  <w:num w:numId="16">
    <w:abstractNumId w:val="9"/>
  </w:num>
  <w:num w:numId="17">
    <w:abstractNumId w:val="36"/>
  </w:num>
  <w:num w:numId="18">
    <w:abstractNumId w:val="20"/>
  </w:num>
  <w:num w:numId="19">
    <w:abstractNumId w:val="24"/>
  </w:num>
  <w:num w:numId="20">
    <w:abstractNumId w:val="35"/>
  </w:num>
  <w:num w:numId="21">
    <w:abstractNumId w:val="39"/>
  </w:num>
  <w:num w:numId="22">
    <w:abstractNumId w:val="26"/>
  </w:num>
  <w:num w:numId="23">
    <w:abstractNumId w:val="14"/>
  </w:num>
  <w:num w:numId="24">
    <w:abstractNumId w:val="11"/>
  </w:num>
  <w:num w:numId="25">
    <w:abstractNumId w:val="22"/>
  </w:num>
  <w:num w:numId="26">
    <w:abstractNumId w:val="16"/>
  </w:num>
  <w:num w:numId="27">
    <w:abstractNumId w:val="10"/>
  </w:num>
  <w:num w:numId="28">
    <w:abstractNumId w:val="7"/>
  </w:num>
  <w:num w:numId="29">
    <w:abstractNumId w:val="6"/>
  </w:num>
  <w:num w:numId="30">
    <w:abstractNumId w:val="3"/>
  </w:num>
  <w:num w:numId="31">
    <w:abstractNumId w:val="18"/>
  </w:num>
  <w:num w:numId="32">
    <w:abstractNumId w:val="2"/>
  </w:num>
  <w:num w:numId="33">
    <w:abstractNumId w:val="13"/>
  </w:num>
  <w:num w:numId="34">
    <w:abstractNumId w:val="38"/>
  </w:num>
  <w:num w:numId="35">
    <w:abstractNumId w:val="37"/>
  </w:num>
  <w:num w:numId="36">
    <w:abstractNumId w:val="19"/>
  </w:num>
  <w:num w:numId="37">
    <w:abstractNumId w:val="30"/>
  </w:num>
  <w:num w:numId="38">
    <w:abstractNumId w:val="8"/>
  </w:num>
  <w:num w:numId="39">
    <w:abstractNumId w:val="12"/>
  </w:num>
  <w:num w:numId="40">
    <w:abstractNumId w:val="33"/>
  </w:num>
  <w:num w:numId="41">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137B8"/>
    <w:rsid w:val="000143E4"/>
    <w:rsid w:val="00014859"/>
    <w:rsid w:val="00022833"/>
    <w:rsid w:val="00032D26"/>
    <w:rsid w:val="00034553"/>
    <w:rsid w:val="00056DE9"/>
    <w:rsid w:val="00073647"/>
    <w:rsid w:val="00096CC2"/>
    <w:rsid w:val="000B2BC8"/>
    <w:rsid w:val="000C6443"/>
    <w:rsid w:val="000D5AEA"/>
    <w:rsid w:val="000F1AD8"/>
    <w:rsid w:val="00102360"/>
    <w:rsid w:val="00102A9E"/>
    <w:rsid w:val="001134A2"/>
    <w:rsid w:val="001240A5"/>
    <w:rsid w:val="0014534B"/>
    <w:rsid w:val="00146C7D"/>
    <w:rsid w:val="001744A9"/>
    <w:rsid w:val="001759E6"/>
    <w:rsid w:val="00187610"/>
    <w:rsid w:val="001B19B4"/>
    <w:rsid w:val="001B2A38"/>
    <w:rsid w:val="001C33EC"/>
    <w:rsid w:val="001D51C6"/>
    <w:rsid w:val="001E4EBD"/>
    <w:rsid w:val="001E7FE3"/>
    <w:rsid w:val="001F534C"/>
    <w:rsid w:val="00245FAB"/>
    <w:rsid w:val="00254ED9"/>
    <w:rsid w:val="002600BA"/>
    <w:rsid w:val="0027188D"/>
    <w:rsid w:val="002E3ED2"/>
    <w:rsid w:val="002F79FF"/>
    <w:rsid w:val="00315A31"/>
    <w:rsid w:val="003246CE"/>
    <w:rsid w:val="003258B6"/>
    <w:rsid w:val="00334204"/>
    <w:rsid w:val="00362134"/>
    <w:rsid w:val="00376456"/>
    <w:rsid w:val="00384DBA"/>
    <w:rsid w:val="00391ECE"/>
    <w:rsid w:val="003B64F7"/>
    <w:rsid w:val="004137A7"/>
    <w:rsid w:val="004505EE"/>
    <w:rsid w:val="00466F45"/>
    <w:rsid w:val="00474F5A"/>
    <w:rsid w:val="0048628E"/>
    <w:rsid w:val="004B0239"/>
    <w:rsid w:val="004F15BB"/>
    <w:rsid w:val="0051709C"/>
    <w:rsid w:val="005556CA"/>
    <w:rsid w:val="00573FEE"/>
    <w:rsid w:val="0057636B"/>
    <w:rsid w:val="00581E2F"/>
    <w:rsid w:val="00586D5D"/>
    <w:rsid w:val="005C544A"/>
    <w:rsid w:val="005E38D6"/>
    <w:rsid w:val="005F30BC"/>
    <w:rsid w:val="00617ACF"/>
    <w:rsid w:val="006257F0"/>
    <w:rsid w:val="00630750"/>
    <w:rsid w:val="006577B9"/>
    <w:rsid w:val="006F0A01"/>
    <w:rsid w:val="006F7748"/>
    <w:rsid w:val="00707317"/>
    <w:rsid w:val="00733E65"/>
    <w:rsid w:val="0079319A"/>
    <w:rsid w:val="00797A31"/>
    <w:rsid w:val="007A5C1B"/>
    <w:rsid w:val="007D037D"/>
    <w:rsid w:val="007D11F2"/>
    <w:rsid w:val="007F564A"/>
    <w:rsid w:val="008039E7"/>
    <w:rsid w:val="00807E40"/>
    <w:rsid w:val="0081508B"/>
    <w:rsid w:val="00877AE6"/>
    <w:rsid w:val="008C2121"/>
    <w:rsid w:val="008F7805"/>
    <w:rsid w:val="00902FFF"/>
    <w:rsid w:val="00905472"/>
    <w:rsid w:val="009109B4"/>
    <w:rsid w:val="0098322D"/>
    <w:rsid w:val="009A2D39"/>
    <w:rsid w:val="009C382C"/>
    <w:rsid w:val="009D7DC0"/>
    <w:rsid w:val="00A0789D"/>
    <w:rsid w:val="00A112DF"/>
    <w:rsid w:val="00A13BDF"/>
    <w:rsid w:val="00A61EE4"/>
    <w:rsid w:val="00A640C7"/>
    <w:rsid w:val="00A7073D"/>
    <w:rsid w:val="00A766F3"/>
    <w:rsid w:val="00A93DB3"/>
    <w:rsid w:val="00B31280"/>
    <w:rsid w:val="00B418D3"/>
    <w:rsid w:val="00B44BEB"/>
    <w:rsid w:val="00B46FD7"/>
    <w:rsid w:val="00B5044C"/>
    <w:rsid w:val="00B9285A"/>
    <w:rsid w:val="00BB488C"/>
    <w:rsid w:val="00C06F53"/>
    <w:rsid w:val="00C20346"/>
    <w:rsid w:val="00C3434E"/>
    <w:rsid w:val="00C71CD0"/>
    <w:rsid w:val="00C753D8"/>
    <w:rsid w:val="00CA2B8E"/>
    <w:rsid w:val="00CB73E4"/>
    <w:rsid w:val="00CC7CC1"/>
    <w:rsid w:val="00CF0462"/>
    <w:rsid w:val="00CF69A6"/>
    <w:rsid w:val="00D214EE"/>
    <w:rsid w:val="00D7079B"/>
    <w:rsid w:val="00D70E0E"/>
    <w:rsid w:val="00DD14BB"/>
    <w:rsid w:val="00DE7A32"/>
    <w:rsid w:val="00E06302"/>
    <w:rsid w:val="00E20DC1"/>
    <w:rsid w:val="00E220D0"/>
    <w:rsid w:val="00E235A7"/>
    <w:rsid w:val="00E32640"/>
    <w:rsid w:val="00E37324"/>
    <w:rsid w:val="00E452DC"/>
    <w:rsid w:val="00E469EB"/>
    <w:rsid w:val="00E57622"/>
    <w:rsid w:val="00E82D3D"/>
    <w:rsid w:val="00EA1463"/>
    <w:rsid w:val="00EB7577"/>
    <w:rsid w:val="00EF1A34"/>
    <w:rsid w:val="00F01325"/>
    <w:rsid w:val="00F1435E"/>
    <w:rsid w:val="00F16AB7"/>
    <w:rsid w:val="00F30EE8"/>
    <w:rsid w:val="00F354D8"/>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D16C3D-53D6-49C3-A81D-3EF48029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A14D9-0AA5-4296-A53A-71BDE928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1838</Words>
  <Characters>10115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cp:revision>
  <cp:lastPrinted>2018-11-22T01:23:00Z</cp:lastPrinted>
  <dcterms:created xsi:type="dcterms:W3CDTF">2018-11-22T01:25:00Z</dcterms:created>
  <dcterms:modified xsi:type="dcterms:W3CDTF">2019-01-10T01:37:00Z</dcterms:modified>
</cp:coreProperties>
</file>